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Theme="majorEastAsia" w:hAnsiTheme="majorEastAsia" w:eastAsiaTheme="majorEastAsia" w:cstheme="majorEastAsia"/>
          <w:b/>
          <w:i w:val="0"/>
          <w:caps w:val="0"/>
          <w:color w:val="000000" w:themeColor="text1"/>
          <w:spacing w:val="0"/>
          <w:sz w:val="44"/>
          <w:szCs w:val="4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Theme="majorEastAsia" w:hAnsiTheme="majorEastAsia" w:eastAsiaTheme="majorEastAsia" w:cstheme="majorEastAsia"/>
          <w:b/>
          <w:i w:val="0"/>
          <w:caps w:val="0"/>
          <w:color w:val="000000" w:themeColor="text1"/>
          <w:spacing w:val="0"/>
          <w:sz w:val="44"/>
          <w:szCs w:val="4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i w:val="0"/>
          <w:caps w:val="0"/>
          <w:color w:val="000000" w:themeColor="text1"/>
          <w:spacing w:val="0"/>
          <w:sz w:val="44"/>
          <w:szCs w:val="44"/>
          <w:shd w:val="clear" w:fill="FFFFFF"/>
          <w14:textFill>
            <w14:solidFill>
              <w14:schemeClr w14:val="tx1"/>
            </w14:solidFill>
          </w14:textFill>
        </w:rPr>
        <w:t>岳阳市</w:t>
      </w:r>
      <w:r>
        <w:rPr>
          <w:rFonts w:hint="eastAsia" w:asciiTheme="majorEastAsia" w:hAnsiTheme="majorEastAsia" w:eastAsiaTheme="majorEastAsia" w:cstheme="majorEastAsia"/>
          <w:b/>
          <w:i w:val="0"/>
          <w:caps w:val="0"/>
          <w:color w:val="000000" w:themeColor="text1"/>
          <w:spacing w:val="0"/>
          <w:sz w:val="44"/>
          <w:szCs w:val="44"/>
          <w:shd w:val="clear" w:fill="FFFFFF"/>
          <w:lang w:eastAsia="zh-CN"/>
          <w14:textFill>
            <w14:solidFill>
              <w14:schemeClr w14:val="tx1"/>
            </w14:solidFill>
          </w14:textFill>
        </w:rPr>
        <w:t>住房保障</w:t>
      </w:r>
      <w:r>
        <w:rPr>
          <w:rFonts w:hint="eastAsia" w:asciiTheme="majorEastAsia" w:hAnsiTheme="majorEastAsia" w:eastAsiaTheme="majorEastAsia" w:cstheme="majorEastAsia"/>
          <w:b/>
          <w:i w:val="0"/>
          <w:caps w:val="0"/>
          <w:color w:val="000000" w:themeColor="text1"/>
          <w:spacing w:val="0"/>
          <w:sz w:val="44"/>
          <w:szCs w:val="44"/>
          <w:shd w:val="clear" w:fill="FFFFFF"/>
          <w14:textFill>
            <w14:solidFill>
              <w14:schemeClr w14:val="tx1"/>
            </w14:solidFill>
          </w14:textFill>
        </w:rPr>
        <w:t>服务中心经开区分中心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Theme="majorEastAsia" w:hAnsiTheme="majorEastAsia" w:eastAsiaTheme="majorEastAsia" w:cstheme="majorEastAsia"/>
          <w:b/>
          <w:i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i w:val="0"/>
          <w:caps w:val="0"/>
          <w:color w:val="000000" w:themeColor="text1"/>
          <w:spacing w:val="0"/>
          <w:sz w:val="44"/>
          <w:szCs w:val="44"/>
          <w:shd w:val="clear" w:fill="FFFFFF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Theme="majorEastAsia" w:hAnsiTheme="majorEastAsia" w:eastAsiaTheme="majorEastAsia" w:cstheme="majorEastAsia"/>
          <w:b/>
          <w:i w:val="0"/>
          <w:caps w:val="0"/>
          <w:color w:val="000000" w:themeColor="text1"/>
          <w:spacing w:val="0"/>
          <w:sz w:val="44"/>
          <w:szCs w:val="4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Theme="majorEastAsia" w:hAnsiTheme="majorEastAsia" w:eastAsiaTheme="majorEastAsia" w:cstheme="majorEastAsia"/>
          <w:b/>
          <w:i w:val="0"/>
          <w:caps w:val="0"/>
          <w:color w:val="000000" w:themeColor="text1"/>
          <w:spacing w:val="0"/>
          <w:sz w:val="44"/>
          <w:szCs w:val="44"/>
          <w:shd w:val="clear" w:fill="FFFFFF"/>
          <w14:textFill>
            <w14:solidFill>
              <w14:schemeClr w14:val="tx1"/>
            </w14:solidFill>
          </w14:textFill>
        </w:rPr>
        <w:t>年度政府信息公开工作报告</w:t>
      </w:r>
    </w:p>
    <w:p/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根据《经开区政务服务中心&lt;关于做好2020年政府信息公开年度报告编制发布工作的函&gt;》要求，为保障公民、法人及其他组织依法获取政府信息，提高住保工作透明度，制定本年度信息公开工作报告。</w:t>
      </w:r>
    </w:p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一、主动公开政府信息的情况</w:t>
      </w:r>
    </w:p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2020年，通过经开区政务网站主动公开住保工作信息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条。</w:t>
      </w:r>
    </w:p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二、收到和处理政府信息公开申请的情况</w:t>
      </w:r>
    </w:p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2020年本单位未收到依申请公开的信息。</w:t>
      </w:r>
    </w:p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三、行政复议、提起行政诉讼的情况</w:t>
      </w:r>
    </w:p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2020年本单位无涉及政府信息公开方面的行政复议、提起行政诉讼的案件。</w:t>
      </w:r>
    </w:p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</w:p>
    <w:tbl>
      <w:tblPr>
        <w:tblStyle w:val="4"/>
        <w:tblW w:w="8140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1875"/>
        <w:gridCol w:w="6"/>
        <w:gridCol w:w="1265"/>
        <w:gridCol w:w="188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14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第二十条第（一）项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对外公开总数量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6EE" w:themeFill="accent1" w:themeFillTint="66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 w:eastAsia="宋体"/>
                <w:color w:val="auto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22"/>
              </w:tabs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Chars="0" w:right="0" w:rightChars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对外公开总数量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政府网站公开政府信息数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Chars="0" w:right="0" w:rightChars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第二十条第（五）项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第二十条第（六）项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第二十条第（八）项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第二十条第（九）项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采购总金额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right="0" w:firstLine="640" w:firstLineChars="20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三、收到和处理政府信息公开申请情况</w:t>
      </w:r>
    </w:p>
    <w:tbl>
      <w:tblPr>
        <w:tblStyle w:val="4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6"/>
        <w:gridCol w:w="854"/>
        <w:gridCol w:w="2086"/>
        <w:gridCol w:w="813"/>
        <w:gridCol w:w="755"/>
        <w:gridCol w:w="755"/>
        <w:gridCol w:w="813"/>
        <w:gridCol w:w="973"/>
        <w:gridCol w:w="711"/>
        <w:gridCol w:w="69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（本列数据的勾稽关系为：第一项加第二项之和，等于第三项加第四项之和）</w:t>
            </w:r>
          </w:p>
        </w:tc>
        <w:tc>
          <w:tcPr>
            <w:tcW w:w="5592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申请人情况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2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自然人</w:t>
            </w:r>
          </w:p>
        </w:tc>
        <w:tc>
          <w:tcPr>
            <w:tcW w:w="406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法人或其他组织</w:t>
            </w:r>
          </w:p>
        </w:tc>
        <w:tc>
          <w:tcPr>
            <w:tcW w:w="70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2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商业企业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科研机构</w:t>
            </w:r>
          </w:p>
        </w:tc>
        <w:tc>
          <w:tcPr>
            <w:tcW w:w="8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社会公益组织</w:t>
            </w:r>
          </w:p>
        </w:tc>
        <w:tc>
          <w:tcPr>
            <w:tcW w:w="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法律服务机构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</w:t>
            </w:r>
          </w:p>
        </w:tc>
        <w:tc>
          <w:tcPr>
            <w:tcW w:w="70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一、本年新收政府信息公开申请数量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二、上年结转政府信息公开申请数量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三、本年度办理结果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（一）予以公开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（二）部分公开（区分处理的，只计这一情形，不计其他情形）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（三）不予公开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1.属于国家秘密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2.其他法律行政法规禁止公开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3.危及“三安全一稳定”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4.保护第三方合法权益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5.属于三类内部事务信息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6.属于四类过程性信息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7.属于行政执法案卷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8.属于行政查询事项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（四）无法提供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1.本机关不掌握相关政府信息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2.没有现成信息需要另行制作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3.补正后申请内容仍不明确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（五）不予处理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1.信访举报投诉类申请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2.重复申请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3.要求提供公开出版物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4.无正当理由大量反复申请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5.要求行政机关确认或重新出具已获取信息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（六）其他处理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（七）总计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四、结转下年度继续办理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四、政府信息公开行政复议、行政诉讼情况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tbl>
      <w:tblPr>
        <w:tblStyle w:val="4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行政诉讼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复议后起诉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</w:p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四、存在的主要问题及改进情况</w:t>
      </w:r>
    </w:p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存在问题：一是对信息公开工作的认识不够。对信息公开工作满足于公开了、交账了，没有从政府职能转变、提高执政能力的高度来认识并推动这项工作。二是主动公开政府信息的力度不够。信息发布不及时、不全面。</w:t>
      </w:r>
    </w:p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改进措施：一方面，加强领导、强化管理。进一步建立健全政府信息公开工作机制，加强信息审核、发布、监督等工作，促进工作的规范化、常态化。另一方面，加大公开力度、广度。利用经开区网站、手机报、公众号等载体，多形式开展政府信息公开的宣传工作，及时宣传报道与群众息息相关的工作，及时回复舆论关切，形成政府信息公开工作的合力。</w:t>
      </w:r>
    </w:p>
    <w:p>
      <w:pP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</w:p>
    <w:p>
      <w:pP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</w:p>
    <w:p>
      <w:pP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</w:p>
    <w:p>
      <w:pPr>
        <w:ind w:firstLine="4800" w:firstLineChars="15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岳阳市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住房保障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服务中心</w:t>
      </w:r>
    </w:p>
    <w:p>
      <w:pPr>
        <w:ind w:firstLine="4800" w:firstLineChars="15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岳阳经济技术开发区分中心</w:t>
      </w:r>
    </w:p>
    <w:p>
      <w:pPr>
        <w:ind w:firstLine="5440" w:firstLineChars="170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2021年3月4日</w:t>
      </w:r>
      <w:bookmarkStart w:id="0" w:name="_GoBack"/>
      <w:bookmarkEnd w:id="0"/>
    </w:p>
    <w:sectPr>
      <w:pgSz w:w="11906" w:h="16838"/>
      <w:pgMar w:top="1270" w:right="1463" w:bottom="127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01013D"/>
    <w:rsid w:val="02236540"/>
    <w:rsid w:val="19646481"/>
    <w:rsid w:val="1B01013D"/>
    <w:rsid w:val="3D0D6968"/>
    <w:rsid w:val="42526773"/>
    <w:rsid w:val="47FC5F0F"/>
    <w:rsid w:val="5AF510CF"/>
    <w:rsid w:val="5C0D7B31"/>
    <w:rsid w:val="66833812"/>
    <w:rsid w:val="67A671C6"/>
    <w:rsid w:val="69CE5AC9"/>
    <w:rsid w:val="6C8030B0"/>
    <w:rsid w:val="7695517A"/>
    <w:rsid w:val="783B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2021-03-04T09:08:00Z</dcterms:created>
  <dc:creator>Administrator</dc:creator>
  <cp:lastModifiedBy>得失荣枯</cp:lastModifiedBy>
  <dcterms:modified xsi:type="dcterms:W3CDTF">2021-03-05T01:15:29Z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