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39F" w:rsidRPr="002E139F" w:rsidRDefault="002E139F" w:rsidP="002E139F">
      <w:pPr>
        <w:widowControl/>
        <w:shd w:val="clear" w:color="auto" w:fill="FFFFFF"/>
        <w:spacing w:before="100" w:beforeAutospacing="1" w:after="100" w:afterAutospacing="1" w:line="276" w:lineRule="atLeast"/>
        <w:jc w:val="center"/>
        <w:outlineLvl w:val="0"/>
        <w:rPr>
          <w:rFonts w:asciiTheme="majorEastAsia" w:eastAsiaTheme="majorEastAsia" w:hAnsiTheme="majorEastAsia" w:cs="Helvetica"/>
          <w:kern w:val="36"/>
          <w:sz w:val="44"/>
          <w:szCs w:val="44"/>
          <w:lang/>
        </w:rPr>
      </w:pPr>
      <w:r w:rsidRPr="002E139F">
        <w:rPr>
          <w:rFonts w:asciiTheme="majorEastAsia" w:eastAsiaTheme="majorEastAsia" w:hAnsiTheme="majorEastAsia" w:cs="Helvetica"/>
          <w:kern w:val="36"/>
          <w:sz w:val="44"/>
          <w:szCs w:val="44"/>
          <w:lang/>
        </w:rPr>
        <w:t>国家税务总局岳阳经济技术开发区税务局2020年度政府信息公开工作报告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2020年，国家税务总局岳阳经济技术开发区税务局（以下简称“经开区税务局”）围绕总局、省局、市局和区工委、管委会决策部署，积极推进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政务（政府信息）</w:t>
      </w: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公开工作，依据2020年政务公开工作要点，遵循“公正、公开、合法、便民”原则，以税务网站栏目为主阵地，规范公开范围，细化公开内容，不断提升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政务（政府信息）</w:t>
      </w: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公开工作质量和实效，持续提高政务服务水平。现将经开区税务局2020年度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政务（政府信息）</w:t>
      </w: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公开工作开展情况报告如下：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一、总体情况</w:t>
      </w:r>
    </w:p>
    <w:p w:rsidR="002E139F" w:rsidRPr="002E139F" w:rsidRDefault="002E139F" w:rsidP="002E139F">
      <w:pPr>
        <w:shd w:val="clear" w:color="auto" w:fill="FFFFFF"/>
        <w:autoSpaceDE w:val="0"/>
        <w:spacing w:before="100" w:beforeAutospacing="1" w:after="115"/>
        <w:ind w:firstLineChars="200" w:firstLine="560"/>
        <w:jc w:val="left"/>
        <w:rPr>
          <w:rFonts w:asciiTheme="minorEastAsia" w:hAnsiTheme="minorEastAsia" w:cs="宋体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宋体" w:hint="eastAsia"/>
          <w:color w:val="000000"/>
          <w:sz w:val="28"/>
          <w:szCs w:val="28"/>
          <w:lang/>
        </w:rPr>
        <w:t>2020年以来，在总局、省局、市局和区工委、管委会的坚强领导下，经开区税务局按照《中华人民共和国政府信息公开条例》规定，落实总局《</w:t>
      </w:r>
      <w:r w:rsidRPr="002E139F">
        <w:rPr>
          <w:rFonts w:asciiTheme="minorEastAsia" w:hAnsiTheme="minorEastAsia" w:cs="Times New Roman" w:hint="eastAsia"/>
          <w:color w:val="333333"/>
          <w:sz w:val="28"/>
          <w:szCs w:val="28"/>
          <w:lang/>
        </w:rPr>
        <w:t>税务机关政府信息公开申请办理规范</w:t>
      </w:r>
      <w:r w:rsidRPr="002E139F">
        <w:rPr>
          <w:rFonts w:asciiTheme="minorEastAsia" w:hAnsiTheme="minorEastAsia" w:cs="宋体" w:hint="eastAsia"/>
          <w:color w:val="000000"/>
          <w:sz w:val="28"/>
          <w:szCs w:val="28"/>
          <w:lang/>
        </w:rPr>
        <w:t>》精神，落实《</w:t>
      </w:r>
      <w:r w:rsidRPr="002E139F">
        <w:rPr>
          <w:rFonts w:asciiTheme="minorEastAsia" w:hAnsiTheme="minorEastAsia" w:cs="仿宋" w:hint="eastAsia"/>
          <w:color w:val="333333"/>
          <w:sz w:val="28"/>
          <w:szCs w:val="28"/>
          <w:lang/>
        </w:rPr>
        <w:t>2020年全省税务系统政务公开工作重点任务清单责任分解表</w:t>
      </w:r>
      <w:r w:rsidRPr="002E139F">
        <w:rPr>
          <w:rFonts w:asciiTheme="minorEastAsia" w:hAnsiTheme="minorEastAsia" w:cs="宋体" w:hint="eastAsia"/>
          <w:color w:val="000000"/>
          <w:sz w:val="28"/>
          <w:szCs w:val="28"/>
          <w:lang/>
        </w:rPr>
        <w:t>》等文件要求，紧密结合工作实际，统筹谋划和安排部署全年</w:t>
      </w:r>
      <w:r w:rsidRPr="002E139F">
        <w:rPr>
          <w:rFonts w:asciiTheme="minorEastAsia" w:hAnsiTheme="minorEastAsia" w:cs="宋体" w:hint="eastAsia"/>
          <w:color w:val="333333"/>
          <w:sz w:val="28"/>
          <w:szCs w:val="28"/>
          <w:lang/>
        </w:rPr>
        <w:t>政务（政府信息）</w:t>
      </w:r>
      <w:r w:rsidRPr="002E139F">
        <w:rPr>
          <w:rFonts w:asciiTheme="minorEastAsia" w:hAnsiTheme="minorEastAsia" w:cs="宋体" w:hint="eastAsia"/>
          <w:color w:val="000000"/>
          <w:sz w:val="28"/>
          <w:szCs w:val="28"/>
          <w:lang/>
        </w:rPr>
        <w:t>公开工作，不断加大</w:t>
      </w:r>
      <w:r w:rsidRPr="002E139F">
        <w:rPr>
          <w:rFonts w:asciiTheme="minorEastAsia" w:hAnsiTheme="minorEastAsia" w:cs="宋体" w:hint="eastAsia"/>
          <w:color w:val="333333"/>
          <w:sz w:val="28"/>
          <w:szCs w:val="28"/>
          <w:lang/>
        </w:rPr>
        <w:t>政务（政府信息）</w:t>
      </w:r>
      <w:r w:rsidRPr="002E139F">
        <w:rPr>
          <w:rFonts w:asciiTheme="minorEastAsia" w:hAnsiTheme="minorEastAsia" w:cs="宋体" w:hint="eastAsia"/>
          <w:color w:val="000000"/>
          <w:sz w:val="28"/>
          <w:szCs w:val="28"/>
          <w:lang/>
        </w:rPr>
        <w:t>公开工作力度。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b/>
          <w:bCs/>
          <w:color w:val="333333"/>
          <w:kern w:val="0"/>
          <w:sz w:val="28"/>
          <w:szCs w:val="28"/>
          <w:lang/>
        </w:rPr>
        <w:t>（一）严格审查，加强信息管理。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2020年，经开区税务局严格执行政务（政府信息）发布审核机制，落实“谁发布、谁审核、谁负责”，遵循“凡发必审，未审禁发”，确保未经审核的信息不得对外公开发布。按照保密工作规定，区局将各税务分局、局内各单位均指定一名工作人员负责本部门保密审查工作，对本部门需要对外发布、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lastRenderedPageBreak/>
        <w:t>提供的信息进行保密审查。在网站信息发布上，每条上网信息均要填写网站信息发布审核表，由科室保密负责人、科室主要负责人、区局办公室负责人、分管局领导或主要局领导逐级审核签字后，再由办公室负责发布上网，切实做到“涉密信息不上网，上网信息不涉密”，全年以来未发生涉密信息违规上网公开事件。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b/>
          <w:bCs/>
          <w:color w:val="333333"/>
          <w:kern w:val="0"/>
          <w:sz w:val="28"/>
          <w:szCs w:val="28"/>
          <w:lang/>
        </w:rPr>
        <w:t>（二）创新形式，加强平台建设。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经开区税务局积极完善本级网站栏目的信息公开栏目建设、内容发布、更新维护，对主动公开类信息逐一明确发布内容、更新时限、责任主体、审查机制等，将税务网站栏目打造成公开、权威、及时的政府信息发布主阵地。同时，进一步补充、完善公开内容，拓宽公开渠道，确保信息公开平台的丰富性和多维性。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b/>
          <w:bCs/>
          <w:color w:val="333333"/>
          <w:kern w:val="0"/>
          <w:sz w:val="28"/>
          <w:szCs w:val="28"/>
          <w:lang/>
        </w:rPr>
        <w:t>（三）立足长效，加强监督保障。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经开区税务局制定了政务（政府信息）公开工作考核制度和责任追究制度，对本单位政务（政府信息）公开工作情况组织开展了多次自查，认真查找存在的主要问题，对发现的问题立即要求各科室限期进行整改。同时，将政务（政府信息）公开工作纳入办公室绩效考核，对信息发布审核不到位、网站栏目更新不及时等问题严格考核通报。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b/>
          <w:bCs/>
          <w:color w:val="000000"/>
          <w:kern w:val="0"/>
          <w:sz w:val="28"/>
          <w:szCs w:val="28"/>
          <w:shd w:val="clear" w:color="auto" w:fill="FFFFFF"/>
          <w:lang/>
        </w:rPr>
        <w:t>（四）主动公开政府信息情况</w:t>
      </w: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。2020年，经开区税务局在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政务（政府信息）</w:t>
      </w: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公开的规范、权威、及时等方面着力抓实抓细，不断提高政务公开质量。2020年1月1日至12月31日，主动公开政府信息3485条，其中网站栏目发布政府信息3037条（其中政府信息公开规定5条、政府信息年报1条、通知公告4条、年度法治报告1条、</w:t>
      </w: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lastRenderedPageBreak/>
        <w:t>政府采购信息27条、涉税信息2971条、新闻动态28条），通过各类媒体发布新闻信息83条。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b/>
          <w:bCs/>
          <w:color w:val="000000"/>
          <w:kern w:val="0"/>
          <w:sz w:val="28"/>
          <w:szCs w:val="28"/>
          <w:shd w:val="clear" w:color="auto" w:fill="FFFFFF"/>
          <w:lang/>
        </w:rPr>
        <w:t>（五）依申请公开政府信息情况</w:t>
      </w: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。2020年，经开区税务局未收到政府信息公开申请。全年未发生有关政府信息公开投诉举报案件、政府信息公开行政复议案件和政府信息公开行政诉讼案件。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48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二、主动公开政府信息情况</w:t>
      </w:r>
    </w:p>
    <w:tbl>
      <w:tblPr>
        <w:tblW w:w="8820" w:type="dxa"/>
        <w:jc w:val="center"/>
        <w:tblCellMar>
          <w:left w:w="0" w:type="dxa"/>
          <w:right w:w="0" w:type="dxa"/>
        </w:tblCellMar>
        <w:tblLook w:val="04A0"/>
      </w:tblPr>
      <w:tblGrid>
        <w:gridCol w:w="2847"/>
        <w:gridCol w:w="1863"/>
        <w:gridCol w:w="15"/>
        <w:gridCol w:w="1478"/>
        <w:gridCol w:w="2617"/>
      </w:tblGrid>
      <w:tr w:rsidR="002E139F" w:rsidRPr="002E139F" w:rsidTr="002E139F">
        <w:trPr>
          <w:trHeight w:val="495"/>
          <w:jc w:val="center"/>
        </w:trPr>
        <w:tc>
          <w:tcPr>
            <w:tcW w:w="85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第二十条第（一）项</w:t>
            </w:r>
          </w:p>
        </w:tc>
      </w:tr>
      <w:tr w:rsidR="002E139F" w:rsidRPr="002E139F" w:rsidTr="002E139F">
        <w:trPr>
          <w:trHeight w:val="882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信息内容</w:t>
            </w:r>
          </w:p>
        </w:tc>
        <w:tc>
          <w:tcPr>
            <w:tcW w:w="1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本年新</w:t>
            </w: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br/>
              <w:t>制作数量</w:t>
            </w: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本年新</w:t>
            </w: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br/>
              <w:t>公开数量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对外公开总数量</w:t>
            </w:r>
          </w:p>
        </w:tc>
      </w:tr>
      <w:tr w:rsidR="002E139F" w:rsidRPr="002E139F" w:rsidTr="002E139F">
        <w:trPr>
          <w:trHeight w:val="523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规章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471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规范性文件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480"/>
          <w:jc w:val="center"/>
        </w:trPr>
        <w:tc>
          <w:tcPr>
            <w:tcW w:w="859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第二十条第（五）项</w:t>
            </w:r>
          </w:p>
        </w:tc>
      </w:tr>
      <w:tr w:rsidR="002E139F" w:rsidRPr="002E139F" w:rsidTr="002E139F">
        <w:trPr>
          <w:trHeight w:val="667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信息内容</w:t>
            </w:r>
          </w:p>
        </w:tc>
        <w:tc>
          <w:tcPr>
            <w:tcW w:w="1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上一年项目数量</w:t>
            </w: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本年增/减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处理决定数量</w:t>
            </w:r>
          </w:p>
        </w:tc>
      </w:tr>
      <w:tr w:rsidR="002E139F" w:rsidRPr="002E139F" w:rsidTr="002E139F">
        <w:trPr>
          <w:trHeight w:val="528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行政许可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1597</w:t>
            </w:r>
          </w:p>
        </w:tc>
      </w:tr>
      <w:tr w:rsidR="002E139F" w:rsidRPr="002E139F" w:rsidTr="002E139F">
        <w:trPr>
          <w:trHeight w:val="550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其他对外管理服务事项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kern w:val="0"/>
                <w:sz w:val="15"/>
                <w:szCs w:val="15"/>
              </w:rPr>
              <w:t>+41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644</w:t>
            </w:r>
          </w:p>
        </w:tc>
      </w:tr>
      <w:tr w:rsidR="002E139F" w:rsidRPr="002E139F" w:rsidTr="002E139F">
        <w:trPr>
          <w:trHeight w:val="406"/>
          <w:jc w:val="center"/>
        </w:trPr>
        <w:tc>
          <w:tcPr>
            <w:tcW w:w="859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第二十条第（六）项</w:t>
            </w:r>
          </w:p>
        </w:tc>
      </w:tr>
      <w:tr w:rsidR="002E139F" w:rsidRPr="002E139F" w:rsidTr="002E139F">
        <w:trPr>
          <w:trHeight w:val="634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信息内容</w:t>
            </w:r>
          </w:p>
        </w:tc>
        <w:tc>
          <w:tcPr>
            <w:tcW w:w="1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上一年项目数量</w:t>
            </w:r>
          </w:p>
        </w:tc>
        <w:tc>
          <w:tcPr>
            <w:tcW w:w="145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本年增/减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处理决定数量</w:t>
            </w:r>
          </w:p>
        </w:tc>
      </w:tr>
      <w:tr w:rsidR="002E139F" w:rsidRPr="002E139F" w:rsidTr="002E139F">
        <w:trPr>
          <w:trHeight w:val="430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行政处罚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1263</w:t>
            </w:r>
          </w:p>
        </w:tc>
      </w:tr>
      <w:tr w:rsidR="002E139F" w:rsidRPr="002E139F" w:rsidTr="002E139F">
        <w:trPr>
          <w:trHeight w:val="409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行政强制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</w:tr>
      <w:tr w:rsidR="002E139F" w:rsidRPr="002E139F" w:rsidTr="002E139F">
        <w:trPr>
          <w:trHeight w:val="474"/>
          <w:jc w:val="center"/>
        </w:trPr>
        <w:tc>
          <w:tcPr>
            <w:tcW w:w="859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第二十条第（八）项</w:t>
            </w:r>
          </w:p>
        </w:tc>
      </w:tr>
      <w:tr w:rsidR="002E139F" w:rsidRPr="002E139F" w:rsidTr="002E139F">
        <w:trPr>
          <w:trHeight w:val="270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信息内容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上一年项目数量</w:t>
            </w:r>
          </w:p>
        </w:tc>
        <w:tc>
          <w:tcPr>
            <w:tcW w:w="357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本年增/减</w:t>
            </w:r>
          </w:p>
        </w:tc>
      </w:tr>
      <w:tr w:rsidR="002E139F" w:rsidRPr="002E139F" w:rsidTr="002E139F">
        <w:trPr>
          <w:trHeight w:val="551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行政事业性收费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476"/>
          <w:jc w:val="center"/>
        </w:trPr>
        <w:tc>
          <w:tcPr>
            <w:tcW w:w="859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lastRenderedPageBreak/>
              <w:t>第二十条第（九）项</w:t>
            </w:r>
          </w:p>
        </w:tc>
      </w:tr>
      <w:tr w:rsidR="002E139F" w:rsidRPr="002E139F" w:rsidTr="002E139F">
        <w:trPr>
          <w:trHeight w:val="585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信息内容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采购项目数量</w:t>
            </w:r>
          </w:p>
        </w:tc>
        <w:tc>
          <w:tcPr>
            <w:tcW w:w="357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采购总金额</w:t>
            </w:r>
          </w:p>
        </w:tc>
      </w:tr>
      <w:tr w:rsidR="002E139F" w:rsidRPr="002E139F" w:rsidTr="002E139F">
        <w:trPr>
          <w:trHeight w:val="539"/>
          <w:jc w:val="center"/>
        </w:trPr>
        <w:tc>
          <w:tcPr>
            <w:tcW w:w="2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政府集中采购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60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6496864元</w:t>
            </w:r>
          </w:p>
        </w:tc>
      </w:tr>
    </w:tbl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48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三、收到和处理政府信息公开申请情况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04"/>
        <w:gridCol w:w="833"/>
        <w:gridCol w:w="2150"/>
        <w:gridCol w:w="518"/>
        <w:gridCol w:w="711"/>
        <w:gridCol w:w="711"/>
        <w:gridCol w:w="762"/>
        <w:gridCol w:w="904"/>
        <w:gridCol w:w="672"/>
        <w:gridCol w:w="657"/>
      </w:tblGrid>
      <w:tr w:rsidR="002E139F" w:rsidRPr="002E139F" w:rsidTr="002E139F">
        <w:trPr>
          <w:trHeight w:val="253"/>
          <w:jc w:val="center"/>
        </w:trPr>
        <w:tc>
          <w:tcPr>
            <w:tcW w:w="38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（本列数据的勾稽关系为：第一项加第二项之和，等于第三项加第四项之和）</w:t>
            </w:r>
          </w:p>
        </w:tc>
        <w:tc>
          <w:tcPr>
            <w:tcW w:w="523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申请人情况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5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法人或其他组织</w:t>
            </w: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总计</w:t>
            </w:r>
          </w:p>
        </w:tc>
      </w:tr>
      <w:tr w:rsidR="002E139F" w:rsidRPr="002E139F" w:rsidTr="002E139F">
        <w:trPr>
          <w:trHeight w:val="495"/>
          <w:jc w:val="center"/>
        </w:trPr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科研机构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社会公益组织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法律服务机构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其他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383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一、本年新收政府信息公开申请数量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383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二、上年结转政府信息公开申请数量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61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三、本年度办理结果</w:t>
            </w:r>
          </w:p>
        </w:tc>
        <w:tc>
          <w:tcPr>
            <w:tcW w:w="32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（一）予以公开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49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32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（二）部分公开（区分处理的，只计这一情形，不计其他情形）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（三）不予公开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1.属于国家秘密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49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2.其他法律行政法规禁止公开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3.危及“三安全一稳定”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4.保护第三方合法权益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5.属于三类内部事务信息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6.属于四类过程性信息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7.属于行政执法案卷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8.属于行政查询事项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49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（四）无法提供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1.本机关不掌握相关政府信息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49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2.没有现成信息需要另行制作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49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3.补正后申请内容仍不明确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（五）不予处理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1.信访举报投诉类申请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2.重复申请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3.要求提供公开出版物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49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4.无正当理由大量反复申请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49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5.要求行政机关确认或重新出具已获取信息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32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（六）其他处理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32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（七）总计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  <w:tr w:rsidR="002E139F" w:rsidRPr="002E139F" w:rsidTr="002E139F">
        <w:trPr>
          <w:trHeight w:val="253"/>
          <w:jc w:val="center"/>
        </w:trPr>
        <w:tc>
          <w:tcPr>
            <w:tcW w:w="383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四、结转下年度继续办理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</w:tr>
    </w:tbl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48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lastRenderedPageBreak/>
        <w:t>四、政府信息公开行政复议、行政诉讼情况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67"/>
        <w:gridCol w:w="566"/>
        <w:gridCol w:w="567"/>
        <w:gridCol w:w="568"/>
        <w:gridCol w:w="613"/>
        <w:gridCol w:w="522"/>
        <w:gridCol w:w="569"/>
        <w:gridCol w:w="569"/>
        <w:gridCol w:w="568"/>
        <w:gridCol w:w="568"/>
        <w:gridCol w:w="568"/>
        <w:gridCol w:w="569"/>
        <w:gridCol w:w="568"/>
        <w:gridCol w:w="570"/>
        <w:gridCol w:w="570"/>
      </w:tblGrid>
      <w:tr w:rsidR="002E139F" w:rsidRPr="002E139F" w:rsidTr="002E139F">
        <w:trPr>
          <w:trHeight w:val="469"/>
          <w:jc w:val="center"/>
        </w:trPr>
        <w:tc>
          <w:tcPr>
            <w:tcW w:w="3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行政复议</w:t>
            </w:r>
          </w:p>
        </w:tc>
        <w:tc>
          <w:tcPr>
            <w:tcW w:w="6042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行政诉讼</w:t>
            </w:r>
          </w:p>
        </w:tc>
      </w:tr>
      <w:tr w:rsidR="002E139F" w:rsidRPr="002E139F" w:rsidTr="002E139F">
        <w:trPr>
          <w:trHeight w:val="469"/>
          <w:jc w:val="center"/>
        </w:trPr>
        <w:tc>
          <w:tcPr>
            <w:tcW w:w="6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结果维持</w:t>
            </w:r>
          </w:p>
        </w:tc>
        <w:tc>
          <w:tcPr>
            <w:tcW w:w="60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结果纠正</w:t>
            </w:r>
          </w:p>
        </w:tc>
        <w:tc>
          <w:tcPr>
            <w:tcW w:w="6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其他结果</w:t>
            </w:r>
          </w:p>
        </w:tc>
        <w:tc>
          <w:tcPr>
            <w:tcW w:w="6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尚未审结</w:t>
            </w:r>
          </w:p>
        </w:tc>
        <w:tc>
          <w:tcPr>
            <w:tcW w:w="66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总计</w:t>
            </w:r>
          </w:p>
        </w:tc>
        <w:tc>
          <w:tcPr>
            <w:tcW w:w="2992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未经复议直接起诉</w:t>
            </w:r>
          </w:p>
        </w:tc>
        <w:tc>
          <w:tcPr>
            <w:tcW w:w="305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复议后起诉</w:t>
            </w:r>
          </w:p>
        </w:tc>
      </w:tr>
      <w:tr w:rsidR="002E139F" w:rsidRPr="002E139F" w:rsidTr="002E139F">
        <w:trPr>
          <w:trHeight w:val="173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39F" w:rsidRPr="002E139F" w:rsidRDefault="002E139F" w:rsidP="002E139F">
            <w:pPr>
              <w:widowControl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结果维持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结果纠正</w:t>
            </w:r>
          </w:p>
        </w:tc>
        <w:tc>
          <w:tcPr>
            <w:tcW w:w="6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其他结果</w:t>
            </w:r>
          </w:p>
        </w:tc>
        <w:tc>
          <w:tcPr>
            <w:tcW w:w="6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尚未审结</w:t>
            </w:r>
          </w:p>
        </w:tc>
        <w:tc>
          <w:tcPr>
            <w:tcW w:w="6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总计</w:t>
            </w:r>
          </w:p>
        </w:tc>
        <w:tc>
          <w:tcPr>
            <w:tcW w:w="6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结果维持</w:t>
            </w:r>
          </w:p>
        </w:tc>
        <w:tc>
          <w:tcPr>
            <w:tcW w:w="6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结果纠正</w:t>
            </w:r>
          </w:p>
        </w:tc>
        <w:tc>
          <w:tcPr>
            <w:tcW w:w="6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其他结果</w:t>
            </w:r>
          </w:p>
        </w:tc>
        <w:tc>
          <w:tcPr>
            <w:tcW w:w="6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尚未审结</w:t>
            </w:r>
          </w:p>
        </w:tc>
        <w:tc>
          <w:tcPr>
            <w:tcW w:w="6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总计</w:t>
            </w:r>
          </w:p>
        </w:tc>
      </w:tr>
      <w:tr w:rsidR="002E139F" w:rsidRPr="002E139F" w:rsidTr="002E139F">
        <w:trPr>
          <w:trHeight w:val="517"/>
          <w:jc w:val="center"/>
        </w:trPr>
        <w:tc>
          <w:tcPr>
            <w:tcW w:w="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  <w:r w:rsidRPr="002E139F">
              <w:rPr>
                <w:rFonts w:asciiTheme="minorEastAsia" w:hAnsiTheme="minorEastAsia" w:cs="Helvetica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 xml:space="preserve">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 xml:space="preserve">0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 xml:space="preserve">0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center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 xml:space="preserve">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139F" w:rsidRPr="002E139F" w:rsidRDefault="002E139F" w:rsidP="002E139F">
            <w:pPr>
              <w:widowControl/>
              <w:spacing w:line="320" w:lineRule="atLeast"/>
              <w:jc w:val="left"/>
              <w:rPr>
                <w:rFonts w:asciiTheme="minorEastAsia" w:hAnsiTheme="minorEastAsia" w:cs="Helvetica"/>
                <w:kern w:val="0"/>
                <w:sz w:val="15"/>
                <w:szCs w:val="15"/>
              </w:rPr>
            </w:pPr>
            <w:r w:rsidRPr="002E139F">
              <w:rPr>
                <w:rFonts w:asciiTheme="minorEastAsia" w:hAnsiTheme="minorEastAsia" w:cs="Helvetica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</w:tr>
    </w:tbl>
    <w:p w:rsidR="002E139F" w:rsidRPr="002E139F" w:rsidRDefault="002E139F" w:rsidP="002E139F">
      <w:pPr>
        <w:widowControl/>
        <w:shd w:val="clear" w:color="auto" w:fill="FFFFFF"/>
        <w:spacing w:line="600" w:lineRule="atLeast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五、存在的主要问题及改进情况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shd w:val="clear" w:color="auto" w:fill="FFFFFF"/>
          <w:lang/>
        </w:rPr>
        <w:t>（一）主要问题。一是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shd w:val="clear" w:color="auto" w:fill="FFFFFF"/>
          <w:lang/>
        </w:rPr>
        <w:t>落实政府信息公开工作的主动性还有待加强。二是促进纳税服务、执法规范和党风廉政建设的作用还有待进一步发挥。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</w:pPr>
      <w:r w:rsidRPr="002E139F">
        <w:rPr>
          <w:rFonts w:asciiTheme="minorEastAsia" w:hAnsiTheme="minorEastAsia" w:cs="Helvetica" w:hint="eastAsia"/>
          <w:color w:val="000000"/>
          <w:kern w:val="0"/>
          <w:sz w:val="28"/>
          <w:szCs w:val="28"/>
          <w:lang/>
        </w:rPr>
        <w:t>（二）改进措施。</w:t>
      </w:r>
      <w:r w:rsidRPr="002E139F">
        <w:rPr>
          <w:rFonts w:asciiTheme="minorEastAsia" w:hAnsiTheme="minorEastAsia" w:cs="Helvetica" w:hint="eastAsia"/>
          <w:b/>
          <w:bCs/>
          <w:color w:val="333333"/>
          <w:kern w:val="0"/>
          <w:sz w:val="28"/>
          <w:szCs w:val="28"/>
          <w:lang/>
        </w:rPr>
        <w:t>一是提高信息公开主动性。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加强政府信息公开业务学习和培训，组织相关业务能力考试，以考促学，提升各责任单位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shd w:val="clear" w:color="auto" w:fill="FFFFFF"/>
          <w:lang/>
        </w:rPr>
        <w:t>落实政府信息公开工作的主动性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。</w:t>
      </w:r>
      <w:r w:rsidRPr="002E139F">
        <w:rPr>
          <w:rFonts w:asciiTheme="minorEastAsia" w:hAnsiTheme="minorEastAsia" w:cs="Helvetica" w:hint="eastAsia"/>
          <w:b/>
          <w:bCs/>
          <w:color w:val="333333"/>
          <w:kern w:val="0"/>
          <w:sz w:val="28"/>
          <w:szCs w:val="28"/>
          <w:lang/>
        </w:rPr>
        <w:t>二是提高信息公开促进相关工作作用。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加强政务公开工作透明度，在依法公开的前提下，积极参与地方党政政务公开平台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shd w:val="clear" w:color="auto" w:fill="FFFFFF"/>
          <w:lang/>
        </w:rPr>
        <w:t>进一步发挥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政务公开工作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shd w:val="clear" w:color="auto" w:fill="FFFFFF"/>
          <w:lang/>
        </w:rPr>
        <w:t>促进纳税服务、执法规范和党风廉政建设的作用</w:t>
      </w: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lang/>
        </w:rPr>
        <w:t>。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shd w:val="clear" w:color="auto" w:fill="FFFFFF"/>
          <w:lang/>
        </w:rPr>
      </w:pP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shd w:val="clear" w:color="auto" w:fill="FFFFFF"/>
          <w:lang/>
        </w:rPr>
        <w:t>六、其他需要报告的事项</w:t>
      </w:r>
    </w:p>
    <w:p w:rsidR="002E139F" w:rsidRPr="002E139F" w:rsidRDefault="002E139F" w:rsidP="002E139F">
      <w:pPr>
        <w:widowControl/>
        <w:shd w:val="clear" w:color="auto" w:fill="FFFFFF"/>
        <w:spacing w:line="600" w:lineRule="atLeast"/>
        <w:ind w:firstLine="640"/>
        <w:jc w:val="left"/>
        <w:rPr>
          <w:rFonts w:asciiTheme="minorEastAsia" w:hAnsiTheme="minorEastAsia" w:cs="Helvetica" w:hint="eastAsia"/>
          <w:color w:val="333333"/>
          <w:kern w:val="0"/>
          <w:sz w:val="28"/>
          <w:szCs w:val="28"/>
          <w:shd w:val="clear" w:color="auto" w:fill="FFFFFF"/>
          <w:lang/>
        </w:rPr>
      </w:pPr>
      <w:r w:rsidRPr="002E139F">
        <w:rPr>
          <w:rFonts w:asciiTheme="minorEastAsia" w:hAnsiTheme="minorEastAsia" w:cs="Helvetica" w:hint="eastAsia"/>
          <w:color w:val="333333"/>
          <w:kern w:val="0"/>
          <w:sz w:val="28"/>
          <w:szCs w:val="28"/>
          <w:shd w:val="clear" w:color="auto" w:fill="FFFFFF"/>
          <w:lang/>
        </w:rPr>
        <w:t>无其他需要报告的事项。</w:t>
      </w:r>
    </w:p>
    <w:p w:rsidR="000052CD" w:rsidRPr="002E139F" w:rsidRDefault="000052CD">
      <w:pPr>
        <w:rPr>
          <w:rFonts w:asciiTheme="minorEastAsia" w:hAnsiTheme="minorEastAsia" w:cs="Helvetica"/>
          <w:color w:val="333333"/>
          <w:kern w:val="0"/>
          <w:sz w:val="28"/>
          <w:szCs w:val="28"/>
          <w:shd w:val="clear" w:color="auto" w:fill="FFFFFF"/>
          <w:lang/>
        </w:rPr>
      </w:pPr>
    </w:p>
    <w:sectPr w:rsidR="000052CD" w:rsidRPr="002E139F" w:rsidSect="00005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139F"/>
    <w:rsid w:val="000052CD"/>
    <w:rsid w:val="002E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C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13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139F"/>
    <w:rPr>
      <w:rFonts w:ascii="宋体" w:eastAsia="宋体" w:hAnsi="宋体" w:cs="宋体"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E139F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1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439550">
                  <w:marLeft w:val="0"/>
                  <w:marRight w:val="0"/>
                  <w:marTop w:val="0"/>
                  <w:marBottom w:val="3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12" w:color="E6E6E6"/>
                      </w:divBdr>
                      <w:divsChild>
                        <w:div w:id="34163116">
                          <w:marLeft w:val="0"/>
                          <w:marRight w:val="0"/>
                          <w:marTop w:val="0"/>
                          <w:marBottom w:val="3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27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6" w:color="E6E6E6"/>
                                <w:right w:val="none" w:sz="0" w:space="0" w:color="auto"/>
                              </w:divBdr>
                            </w:div>
                            <w:div w:id="128045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2021-03-03T03:28:00Z</dcterms:created>
  <dcterms:modified xsi:type="dcterms:W3CDTF">2021-03-03T03:32:00Z</dcterms:modified>
</cp:coreProperties>
</file>