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岳阳市妇幼保健院</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岳阳市妇幼保健院</w:t>
      </w:r>
      <w:r>
        <w:rPr>
          <w:rFonts w:hint="eastAsia" w:ascii="黑体" w:hAnsi="黑体" w:eastAsia="黑体" w:cs="黑体"/>
          <w:b w:val="0"/>
          <w:bCs/>
          <w:sz w:val="28"/>
          <w:szCs w:val="28"/>
        </w:rPr>
        <w:t>单位概况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岳阳市妇幼保健院</w:t>
      </w:r>
      <w:r>
        <w:rPr>
          <w:rFonts w:hint="eastAsia" w:ascii="方正小标宋_GBK" w:hAnsi="方正小标宋_GBK" w:eastAsia="方正小标宋_GBK" w:cs="方正小标宋_GBK"/>
          <w:sz w:val="84"/>
          <w:szCs w:val="84"/>
        </w:rPr>
        <w:t>单位概况</w:t>
      </w: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pStyle w:val="3"/>
        <w:ind w:left="0" w:leftChars="0" w:firstLine="0" w:firstLineChars="0"/>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（一）负责指导全市妇幼保健工作，指导乡镇卫生院产科建设，开展社区卫生服务。</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（二）负责全市妇幼卫生干部培训工作。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（三）负责贯彻执行《母婴保健法》，开展母婴保健服务技术指导工作。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（四）负责全市孕产妇急救服务工作。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（五）负责全市妇幼卫生信息统计分析。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（六）负责全市爱婴医院创建、医疗、科研、健康教育等工作。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（七）协助卫生行政部门制定全市妇幼卫生工作规划并组织实施，提高出生人口素质以及全民族身体素质。</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numPr>
          <w:ilvl w:val="0"/>
          <w:numId w:val="0"/>
        </w:numPr>
        <w:spacing w:line="600" w:lineRule="exact"/>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（一）内设机构设置。</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岳阳市妇幼保健院的临床保健科室包括产科、新生儿科、儿童保健科、儿科、妇科、妇女保健科、生殖医学中心、小儿外科、泌尿外科、乳甲外科、急诊科、麻醉科、检验科、医学遗传科、功能科、病理科、门诊部、手术室、体检中心等，职能科室包括财务部、党办、办公室、组织人事部、医务部、护理部、医学装备部、医疗保险部、科教科、后勤服务部、药学办、院感科等。</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医院现有职工920人，其中卫生技术人员800人，副高以上职称148人（其中正高27人，副高121人），有博士研究生5人（其中博士后3人）、硕士研究生72人，岳阳市首席专家4人，享受湖南省政府特殊津贴专家1人，湖南省名老中医1人，岳阳市名医8人，享受岳阳市政府特殊津贴专家4人，教授8人，硕士研究生导师7人，博士研究生导师1人。</w:t>
      </w:r>
    </w:p>
    <w:p>
      <w:pPr>
        <w:widowControl/>
        <w:numPr>
          <w:ilvl w:val="0"/>
          <w:numId w:val="2"/>
        </w:numPr>
        <w:spacing w:line="600" w:lineRule="exact"/>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决算单位构成。</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本单位无独立核算的下属单位，2023年部门决算汇总公开单位仅包括岳阳市妇幼保健院本级。</w:t>
      </w:r>
    </w:p>
    <w:p>
      <w:pPr>
        <w:pStyle w:val="2"/>
        <w:keepNext w:val="0"/>
        <w:keepLines w:val="0"/>
        <w:pageBreakBefore w:val="0"/>
        <w:kinsoku/>
        <w:wordWrap/>
        <w:overflowPunct/>
        <w:topLinePunct w:val="0"/>
        <w:autoSpaceDE/>
        <w:autoSpaceDN/>
        <w:bidi w:val="0"/>
        <w:adjustRightIn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12"/>
        <w:jc w:val="both"/>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both"/>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年度收、支总计31728.49万元。与上年相比，减少</w:t>
      </w:r>
      <w:r>
        <w:rPr>
          <w:rFonts w:hint="eastAsia" w:ascii="仿宋_GB2312" w:hAnsi="仿宋_GB2312" w:eastAsia="仿宋_GB2312" w:cs="仿宋_GB2312"/>
          <w:sz w:val="32"/>
          <w:szCs w:val="32"/>
          <w:lang w:val="en-US" w:eastAsia="zh-CN"/>
        </w:rPr>
        <w:t>5888.96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15.65</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eastAsia="zh-CN"/>
        </w:rPr>
        <w:t>其他收入下降，新院搬迁完成后，支出有所减少。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年度收入合计29808.58万元，其中：财政拨款收入3593.49万元，占</w:t>
      </w:r>
      <w:r>
        <w:rPr>
          <w:rFonts w:hint="eastAsia" w:ascii="仿宋_GB2312" w:hAnsi="仿宋_GB2312" w:eastAsia="仿宋_GB2312" w:cs="仿宋_GB2312"/>
          <w:sz w:val="32"/>
          <w:szCs w:val="32"/>
          <w:lang w:val="en-US" w:eastAsia="zh-CN"/>
        </w:rPr>
        <w:t>12.06</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%；事业收入26155.42万元，占</w:t>
      </w:r>
      <w:r>
        <w:rPr>
          <w:rFonts w:hint="eastAsia" w:ascii="仿宋_GB2312" w:hAnsi="仿宋_GB2312" w:eastAsia="仿宋_GB2312" w:cs="仿宋_GB2312"/>
          <w:sz w:val="32"/>
          <w:szCs w:val="32"/>
          <w:lang w:val="en-US" w:eastAsia="zh-CN"/>
        </w:rPr>
        <w:t>87.74</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%；其他收入59.66万元，占</w:t>
      </w:r>
      <w:r>
        <w:rPr>
          <w:rFonts w:hint="eastAsia" w:ascii="仿宋_GB2312" w:hAnsi="仿宋_GB2312" w:eastAsia="仿宋_GB2312" w:cs="仿宋_GB2312"/>
          <w:sz w:val="32"/>
          <w:szCs w:val="32"/>
          <w:lang w:val="en-US" w:eastAsia="zh-CN"/>
        </w:rPr>
        <w:t>0.2</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年度支出合计31728.5万元，其中：基本支出25506.13万元，占</w:t>
      </w:r>
      <w:r>
        <w:rPr>
          <w:rFonts w:hint="eastAsia" w:ascii="仿宋_GB2312" w:hAnsi="仿宋_GB2312" w:eastAsia="仿宋_GB2312" w:cs="仿宋_GB2312"/>
          <w:sz w:val="32"/>
          <w:szCs w:val="32"/>
          <w:lang w:val="en-US" w:eastAsia="zh-CN"/>
        </w:rPr>
        <w:t>80.39</w:t>
      </w:r>
      <w:r>
        <w:rPr>
          <w:rFonts w:hint="eastAsia" w:ascii="仿宋_GB2312" w:hAnsi="仿宋_GB2312" w:eastAsia="仿宋_GB2312" w:cs="仿宋_GB2312"/>
          <w:sz w:val="32"/>
          <w:szCs w:val="32"/>
        </w:rPr>
        <w:t>%；项目支出6222.37万元，占</w:t>
      </w:r>
      <w:r>
        <w:rPr>
          <w:rFonts w:hint="eastAsia" w:ascii="仿宋_GB2312" w:hAnsi="仿宋_GB2312" w:eastAsia="仿宋_GB2312" w:cs="仿宋_GB2312"/>
          <w:sz w:val="32"/>
          <w:szCs w:val="32"/>
          <w:lang w:val="en-US" w:eastAsia="zh-CN"/>
        </w:rPr>
        <w:t>19.61</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年度财政拨款收、支总计3593.49万元，与上年相比，增加</w:t>
      </w:r>
      <w:r>
        <w:rPr>
          <w:rFonts w:hint="eastAsia" w:ascii="仿宋_GB2312" w:hAnsi="仿宋_GB2312" w:eastAsia="仿宋_GB2312" w:cs="仿宋_GB2312"/>
          <w:sz w:val="32"/>
          <w:szCs w:val="32"/>
          <w:lang w:val="en-US" w:eastAsia="zh-CN"/>
        </w:rPr>
        <w:t>1285.44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55.69</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val="en-US" w:eastAsia="zh-CN"/>
        </w:rPr>
        <w:t>2023年下拨新冠肺炎重症救治能力资金、托育建设资金、新生儿耳聋基因免费筛查检测经费。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年度财政拨款支出3593.49万元，占本年支出合计的</w:t>
      </w:r>
      <w:r>
        <w:rPr>
          <w:rFonts w:hint="eastAsia" w:ascii="仿宋_GB2312" w:hAnsi="仿宋_GB2312" w:eastAsia="仿宋_GB2312" w:cs="仿宋_GB2312"/>
          <w:sz w:val="32"/>
          <w:szCs w:val="32"/>
          <w:lang w:val="en-US" w:eastAsia="zh-CN"/>
        </w:rPr>
        <w:t>11.33</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1285.44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55.69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在提升新冠肺炎重症救治能力、托育建设、新生儿耳聋免费筛查检测等方面使用了财政资金。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年度财政拨款支出3593.49万元，主要用于以下方面：科学技术支出（类）支出29.98万元，占</w:t>
      </w:r>
      <w:r>
        <w:rPr>
          <w:rFonts w:hint="eastAsia" w:ascii="仿宋_GB2312" w:hAnsi="仿宋_GB2312" w:eastAsia="仿宋_GB2312" w:cs="仿宋_GB2312"/>
          <w:b w:val="0"/>
          <w:bCs w:val="0"/>
          <w:sz w:val="32"/>
          <w:szCs w:val="32"/>
          <w:lang w:val="en-US" w:eastAsia="zh-CN"/>
        </w:rPr>
        <w:t>0.83</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社会保障和就业支出（类）支出395.23万元，占</w:t>
      </w:r>
      <w:r>
        <w:rPr>
          <w:rFonts w:hint="eastAsia" w:ascii="仿宋_GB2312" w:hAnsi="仿宋_GB2312" w:eastAsia="仿宋_GB2312" w:cs="仿宋_GB2312"/>
          <w:sz w:val="32"/>
          <w:szCs w:val="32"/>
          <w:lang w:val="en-US" w:eastAsia="zh-CN"/>
        </w:rPr>
        <w:t>11.00</w:t>
      </w:r>
      <w:r>
        <w:rPr>
          <w:rFonts w:hint="eastAsia" w:ascii="仿宋_GB2312" w:hAnsi="仿宋_GB2312" w:eastAsia="仿宋_GB2312" w:cs="仿宋_GB2312"/>
          <w:sz w:val="32"/>
          <w:szCs w:val="32"/>
        </w:rPr>
        <w:t>%;卫生健康支出2995.25万元，占</w:t>
      </w:r>
      <w:r>
        <w:rPr>
          <w:rFonts w:hint="eastAsia" w:ascii="仿宋_GB2312" w:hAnsi="仿宋_GB2312" w:eastAsia="仿宋_GB2312" w:cs="仿宋_GB2312"/>
          <w:sz w:val="32"/>
          <w:szCs w:val="32"/>
          <w:lang w:val="en-US" w:eastAsia="zh-CN"/>
        </w:rPr>
        <w:t>83.35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，住房保障支出173.03万元，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4.82</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2065.92</w:t>
      </w:r>
      <w:r>
        <w:rPr>
          <w:rFonts w:hint="eastAsia" w:ascii="仿宋_GB2312" w:hAnsi="仿宋_GB2312" w:eastAsia="仿宋_GB2312" w:cs="仿宋_GB2312"/>
          <w:sz w:val="32"/>
          <w:szCs w:val="32"/>
        </w:rPr>
        <w:t>万元，支出决算数为3593.49万元，完成年初预算的</w:t>
      </w:r>
      <w:r>
        <w:rPr>
          <w:rFonts w:hint="eastAsia" w:ascii="仿宋_GB2312" w:hAnsi="仿宋_GB2312" w:eastAsia="仿宋_GB2312" w:cs="仿宋_GB2312"/>
          <w:sz w:val="32"/>
          <w:szCs w:val="32"/>
          <w:lang w:val="en-US" w:eastAsia="zh-CN"/>
        </w:rPr>
        <w:t>173.94</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sz w:val="32"/>
          <w:szCs w:val="32"/>
        </w:rPr>
        <w:t>科学技术支出（类）基础研究（款）自然科学基金（项）</w:t>
      </w:r>
      <w:r>
        <w:rPr>
          <w:rFonts w:hint="eastAsia" w:ascii="仿宋_GB2312" w:hAnsi="仿宋_GB2312" w:eastAsia="仿宋_GB2312" w:cs="仿宋_GB2312"/>
          <w:sz w:val="32"/>
          <w:szCs w:val="32"/>
        </w:rPr>
        <w:t>。</w:t>
      </w:r>
    </w:p>
    <w:p>
      <w:pPr>
        <w:pStyle w:val="12"/>
        <w:spacing w:line="600" w:lineRule="exact"/>
        <w:ind w:firstLine="800" w:firstLineChars="250"/>
        <w:rPr>
          <w:rFonts w:ascii="Times New Roman" w:hAnsi="Times New Roman" w:eastAsia="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万元，支出决算为14.7万元，决算数大于年初预算数的主要原因是：</w:t>
      </w:r>
      <w:r>
        <w:rPr>
          <w:rFonts w:hint="eastAsia" w:ascii="Times New Roman" w:hAnsi="Times New Roman" w:eastAsia="仿宋_GB2312"/>
          <w:sz w:val="32"/>
          <w:szCs w:val="32"/>
        </w:rPr>
        <w:t>年初没有预算，是上年结转的科研专项资金。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2、科学技术支出（类）技术研究与开发（款）其他技术研究与开发支出（项）。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15.28</w:t>
      </w:r>
      <w:r>
        <w:rPr>
          <w:rFonts w:hint="eastAsia" w:ascii="仿宋_GB2312" w:hAnsi="仿宋_GB2312" w:eastAsia="仿宋_GB2312" w:cs="仿宋_GB2312"/>
          <w:sz w:val="32"/>
          <w:szCs w:val="32"/>
        </w:rPr>
        <w:t>万元，决算数大于年初预算数的主要原因是：</w:t>
      </w:r>
      <w:r>
        <w:rPr>
          <w:rFonts w:hint="eastAsia" w:ascii="Times New Roman" w:hAnsi="Times New Roman" w:eastAsia="仿宋_GB2312"/>
          <w:sz w:val="32"/>
          <w:szCs w:val="32"/>
        </w:rPr>
        <w:t>年初没有预算，是上年结转的科研专项资金。</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社会保障和就业支出（类）行政事业单位养老支出（款）事业单位离退休（项）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22.52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18.63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完成年初预算的</w:t>
      </w:r>
      <w:r>
        <w:rPr>
          <w:rFonts w:hint="eastAsia" w:ascii="仿宋_GB2312" w:hAnsi="仿宋_GB2312" w:eastAsia="仿宋_GB2312" w:cs="仿宋_GB2312"/>
          <w:sz w:val="32"/>
          <w:szCs w:val="32"/>
          <w:lang w:val="en-US" w:eastAsia="zh-CN"/>
        </w:rPr>
        <w:t>82.73%，</w:t>
      </w:r>
      <w:r>
        <w:rPr>
          <w:rFonts w:hint="eastAsia" w:ascii="仿宋_GB2312" w:hAnsi="仿宋_GB2312" w:eastAsia="仿宋_GB2312" w:cs="仿宋_GB2312"/>
          <w:sz w:val="32"/>
          <w:szCs w:val="32"/>
        </w:rPr>
        <w:t>决算数大于年初预算数的主要原因是：</w:t>
      </w:r>
      <w:r>
        <w:rPr>
          <w:rFonts w:hint="eastAsia" w:ascii="Times New Roman" w:hAnsi="Times New Roman" w:eastAsia="仿宋_GB2312"/>
          <w:sz w:val="32"/>
          <w:szCs w:val="32"/>
          <w:lang w:eastAsia="zh-CN"/>
        </w:rPr>
        <w:t>离退休人员的人员经费已用完，但公用经费未使用完，有结余。</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社会保障和就业支出（类）行政事业单位养老支出（款）机关事业单位基本养老保险缴费支出（项）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230.7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lang w:eastAsia="zh-CN"/>
        </w:rPr>
        <w:t>财政拨付的在编人员基本养老保险费，已按时按量缴纳社保。</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社会保障和就业支出（类）抚恤（款）其他优抚支出（项）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3.31</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年初没有预算，</w:t>
      </w:r>
      <w:r>
        <w:rPr>
          <w:rFonts w:hint="eastAsia" w:ascii="Times New Roman" w:hAnsi="Times New Roman" w:eastAsia="仿宋_GB2312"/>
          <w:sz w:val="32"/>
          <w:szCs w:val="32"/>
          <w:lang w:eastAsia="zh-CN"/>
        </w:rPr>
        <w:t>根据实际情况</w:t>
      </w:r>
      <w:r>
        <w:rPr>
          <w:rFonts w:hint="eastAsia" w:ascii="Times New Roman" w:hAnsi="Times New Roman" w:eastAsia="仿宋_GB2312"/>
          <w:sz w:val="32"/>
          <w:szCs w:val="32"/>
        </w:rPr>
        <w:t>追加的一次性抚恤及遗属费</w:t>
      </w:r>
      <w:r>
        <w:rPr>
          <w:rFonts w:hint="eastAsia" w:ascii="Times New Roman" w:hAnsi="Times New Roman" w:eastAsia="仿宋_GB2312"/>
          <w:sz w:val="32"/>
          <w:szCs w:val="32"/>
          <w:lang w:eastAsia="zh-CN"/>
        </w:rPr>
        <w:t>。</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社会保障和就业支出（类）其他社会保障和就业支出（款）其他社会保障和就业支出（项）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7.59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142.59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完成年初预算的</w:t>
      </w:r>
      <w:r>
        <w:rPr>
          <w:rFonts w:hint="eastAsia" w:ascii="仿宋_GB2312" w:hAnsi="仿宋_GB2312" w:eastAsia="仿宋_GB2312" w:cs="仿宋_GB2312"/>
          <w:sz w:val="32"/>
          <w:szCs w:val="32"/>
          <w:lang w:val="en-US" w:eastAsia="zh-CN"/>
        </w:rPr>
        <w:t>1878.66%，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lang w:eastAsia="zh-CN"/>
        </w:rPr>
        <w:t>除了年初预算的工伤保险外，还有上年结转的</w:t>
      </w:r>
      <w:r>
        <w:rPr>
          <w:rFonts w:hint="eastAsia" w:ascii="仿宋_GB2312" w:hAnsi="仿宋_GB2312" w:eastAsia="仿宋_GB2312" w:cs="仿宋_GB2312"/>
          <w:color w:val="auto"/>
          <w:sz w:val="32"/>
          <w:szCs w:val="32"/>
          <w:lang w:val="en-US" w:eastAsia="zh-CN"/>
        </w:rPr>
        <w:t>托育建设资金</w:t>
      </w:r>
      <w:r>
        <w:rPr>
          <w:rFonts w:hint="eastAsia" w:ascii="Times New Roman" w:hAnsi="Times New Roman" w:eastAsia="仿宋_GB2312"/>
          <w:sz w:val="32"/>
          <w:szCs w:val="32"/>
          <w:lang w:eastAsia="zh-CN"/>
        </w:rPr>
        <w:t>。</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卫生健康支出（类）公立医院（款）妇幼保健医院（项）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1510.67</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1245.71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完成年初预算的</w:t>
      </w:r>
      <w:r>
        <w:rPr>
          <w:rFonts w:hint="eastAsia" w:ascii="仿宋_GB2312" w:hAnsi="仿宋_GB2312" w:eastAsia="仿宋_GB2312" w:cs="仿宋_GB2312"/>
          <w:color w:val="auto"/>
          <w:sz w:val="32"/>
          <w:szCs w:val="32"/>
          <w:lang w:val="en-US" w:eastAsia="zh-CN"/>
        </w:rPr>
        <w:t>82.46%，</w:t>
      </w:r>
      <w:r>
        <w:rPr>
          <w:rFonts w:hint="eastAsia" w:ascii="仿宋_GB2312" w:hAnsi="仿宋_GB2312" w:eastAsia="仿宋_GB2312" w:cs="仿宋_GB2312"/>
          <w:color w:val="auto"/>
          <w:sz w:val="32"/>
          <w:szCs w:val="32"/>
        </w:rPr>
        <w:t>决算数</w:t>
      </w:r>
      <w:r>
        <w:rPr>
          <w:rFonts w:hint="eastAsia" w:ascii="仿宋_GB2312" w:hAnsi="仿宋_GB2312" w:eastAsia="仿宋_GB2312" w:cs="仿宋_GB2312"/>
          <w:color w:val="auto"/>
          <w:sz w:val="32"/>
          <w:szCs w:val="32"/>
          <w:lang w:eastAsia="zh-CN"/>
        </w:rPr>
        <w:t>大于</w:t>
      </w:r>
      <w:r>
        <w:rPr>
          <w:rFonts w:hint="eastAsia" w:ascii="仿宋_GB2312" w:hAnsi="仿宋_GB2312" w:eastAsia="仿宋_GB2312" w:cs="仿宋_GB2312"/>
          <w:color w:val="auto"/>
          <w:sz w:val="32"/>
          <w:szCs w:val="32"/>
        </w:rPr>
        <w:t>年初预算数的主要原因是：</w:t>
      </w:r>
      <w:r>
        <w:rPr>
          <w:rFonts w:hint="eastAsia" w:ascii="仿宋_GB2312" w:hAnsi="仿宋_GB2312" w:eastAsia="仿宋_GB2312" w:cs="仿宋_GB2312"/>
          <w:color w:val="auto"/>
          <w:sz w:val="32"/>
          <w:szCs w:val="32"/>
          <w:lang w:eastAsia="zh-CN"/>
        </w:rPr>
        <w:t>公务用车运行维护费结余，非税收入返还未下达。</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卫生健康支出（类）公立医院（款）其他公立医院支出（项）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922.13</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年初没有预算，</w:t>
      </w:r>
      <w:r>
        <w:rPr>
          <w:rFonts w:hint="eastAsia" w:ascii="Times New Roman" w:hAnsi="Times New Roman" w:eastAsia="仿宋_GB2312"/>
          <w:sz w:val="32"/>
          <w:szCs w:val="32"/>
          <w:lang w:eastAsia="zh-CN"/>
        </w:rPr>
        <w:t>年中拨付项目资金，包括重点学科建设资金、新冠重症救治能力提升资金、公立医院改革补助。</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卫生健康支出（类）公共卫生（款）重大公共卫生服务（项）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48.86</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年初没有预算，</w:t>
      </w:r>
      <w:r>
        <w:rPr>
          <w:rFonts w:hint="eastAsia" w:ascii="Times New Roman" w:hAnsi="Times New Roman" w:eastAsia="仿宋_GB2312"/>
          <w:sz w:val="32"/>
          <w:szCs w:val="32"/>
          <w:lang w:eastAsia="zh-CN"/>
        </w:rPr>
        <w:t>上年结转和年中拨付的重大传染病防控经费。</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卫生健康支出（类）公共卫生（款）突发公共卫生事件应急处理（项）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46.58</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年初没有预算，</w:t>
      </w:r>
      <w:r>
        <w:rPr>
          <w:rFonts w:hint="eastAsia" w:ascii="Times New Roman" w:hAnsi="Times New Roman" w:eastAsia="仿宋_GB2312"/>
          <w:sz w:val="32"/>
          <w:szCs w:val="32"/>
          <w:lang w:eastAsia="zh-CN"/>
        </w:rPr>
        <w:t>上年结转和年中拨付的核酸检测能力提升。</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卫生健康支出（类）公共卫生（款）其他公共卫生支出（项）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38.34</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年初没有预算，</w:t>
      </w:r>
      <w:r>
        <w:rPr>
          <w:rFonts w:hint="eastAsia" w:ascii="Times New Roman" w:hAnsi="Times New Roman" w:eastAsia="仿宋_GB2312"/>
          <w:sz w:val="32"/>
          <w:szCs w:val="32"/>
          <w:lang w:eastAsia="zh-CN"/>
        </w:rPr>
        <w:t>上年结转和年中拨付的公卫经费。</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卫生健康支出（类）中医药（款）中医（民族医）药专项（项）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4.73</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年初没有预算，</w:t>
      </w:r>
      <w:r>
        <w:rPr>
          <w:rFonts w:hint="eastAsia" w:ascii="Times New Roman" w:hAnsi="Times New Roman" w:eastAsia="仿宋_GB2312"/>
          <w:sz w:val="32"/>
          <w:szCs w:val="32"/>
          <w:lang w:eastAsia="zh-CN"/>
        </w:rPr>
        <w:t>上年结转和年中拨付的中医药专项。</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卫生健康支出（类）行政事业单位医疗（款）事业单位医疗（项）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sz w:val="32"/>
          <w:szCs w:val="32"/>
        </w:rPr>
        <w:t>年初预算为121.41万元，支出决算为</w:t>
      </w:r>
      <w:r>
        <w:rPr>
          <w:rFonts w:hint="eastAsia" w:ascii="仿宋_GB2312" w:hAnsi="仿宋_GB2312" w:eastAsia="仿宋_GB2312" w:cs="仿宋_GB2312"/>
          <w:sz w:val="32"/>
          <w:szCs w:val="32"/>
          <w:lang w:val="en-US" w:eastAsia="zh-CN"/>
        </w:rPr>
        <w:t>121.41</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lang w:eastAsia="zh-CN"/>
        </w:rPr>
        <w:t>财政拨付的在编人员医疗保险，已按时按量缴纳社保。</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卫生健康支出（类）其他卫生健康支出（款）其他卫生健康支出（项）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567.5</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lang w:eastAsia="zh-CN"/>
        </w:rPr>
        <w:t>年初没有预算，年中拨付的新生儿耳聋基因筛查项目资金、新型冠状病毒感染疫情应急救治能力提升项目资金、医务人员补助资金。</w:t>
      </w:r>
    </w:p>
    <w:p>
      <w:pPr>
        <w:pStyle w:val="12"/>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住房保障支出（类）住房改革支出（款）住房公积金（项）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173.03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173.03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lang w:eastAsia="zh-CN"/>
        </w:rPr>
        <w:t>财政拨付的在编人员住房公积金，已按时按量缴纳。</w:t>
      </w:r>
    </w:p>
    <w:p>
      <w:pPr>
        <w:pStyle w:val="12"/>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年度财政拨款基本支出1800.39万元，其中：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1745.27万元，占基本支出的</w:t>
      </w:r>
      <w:r>
        <w:rPr>
          <w:rFonts w:hint="eastAsia" w:ascii="仿宋_GB2312" w:hAnsi="仿宋_GB2312" w:eastAsia="仿宋_GB2312" w:cs="仿宋_GB2312"/>
          <w:sz w:val="32"/>
          <w:szCs w:val="32"/>
          <w:lang w:val="en-US" w:eastAsia="zh-CN"/>
        </w:rPr>
        <w:t>96.94</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val="en-US" w:eastAsia="zh-CN"/>
        </w:rPr>
        <w:t>1034.23万元</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val="en-US" w:eastAsia="zh-CN"/>
        </w:rPr>
        <w:t>4.44万元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绩效工资</w:t>
      </w:r>
      <w:r>
        <w:rPr>
          <w:rFonts w:hint="eastAsia" w:ascii="仿宋_GB2312" w:hAnsi="仿宋_GB2312" w:eastAsia="仿宋_GB2312" w:cs="仿宋_GB2312"/>
          <w:sz w:val="32"/>
          <w:szCs w:val="32"/>
          <w:lang w:val="en-US" w:eastAsia="zh-CN"/>
        </w:rPr>
        <w:t>51.3万元</w:t>
      </w:r>
      <w:r>
        <w:rPr>
          <w:rFonts w:hint="eastAsia" w:ascii="仿宋_GB2312" w:hAnsi="仿宋_GB2312" w:eastAsia="仿宋_GB2312" w:cs="仿宋_GB2312"/>
          <w:sz w:val="32"/>
          <w:szCs w:val="32"/>
          <w:lang w:eastAsia="zh-CN"/>
        </w:rPr>
        <w:t>、机关事业单位基本养老保险缴费</w:t>
      </w:r>
      <w:r>
        <w:rPr>
          <w:rFonts w:hint="eastAsia" w:ascii="仿宋_GB2312" w:hAnsi="仿宋_GB2312" w:eastAsia="仿宋_GB2312" w:cs="仿宋_GB2312"/>
          <w:sz w:val="32"/>
          <w:szCs w:val="32"/>
          <w:lang w:val="en-US" w:eastAsia="zh-CN"/>
        </w:rPr>
        <w:t>230.7万元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职工基本医疗保险缴费</w:t>
      </w:r>
      <w:r>
        <w:rPr>
          <w:rFonts w:hint="eastAsia" w:ascii="仿宋_GB2312" w:hAnsi="仿宋_GB2312" w:eastAsia="仿宋_GB2312" w:cs="仿宋_GB2312"/>
          <w:sz w:val="32"/>
          <w:szCs w:val="32"/>
          <w:lang w:val="en-US" w:eastAsia="zh-CN"/>
        </w:rPr>
        <w:t>121.41万元</w:t>
      </w:r>
      <w:r>
        <w:rPr>
          <w:rFonts w:hint="eastAsia" w:ascii="仿宋_GB2312" w:hAnsi="仿宋_GB2312" w:eastAsia="仿宋_GB2312" w:cs="仿宋_GB2312"/>
          <w:sz w:val="32"/>
          <w:szCs w:val="32"/>
          <w:lang w:eastAsia="zh-CN"/>
        </w:rPr>
        <w:t>、其他社会保障缴费</w:t>
      </w:r>
      <w:r>
        <w:rPr>
          <w:rFonts w:hint="eastAsia" w:ascii="仿宋_GB2312" w:hAnsi="仿宋_GB2312" w:eastAsia="仿宋_GB2312" w:cs="仿宋_GB2312"/>
          <w:sz w:val="32"/>
          <w:szCs w:val="32"/>
          <w:lang w:val="en-US" w:eastAsia="zh-CN"/>
        </w:rPr>
        <w:t>7.59万元</w:t>
      </w:r>
      <w:r>
        <w:rPr>
          <w:rFonts w:hint="eastAsia" w:ascii="仿宋_GB2312" w:hAnsi="仿宋_GB2312" w:eastAsia="仿宋_GB2312" w:cs="仿宋_GB2312"/>
          <w:sz w:val="32"/>
          <w:szCs w:val="32"/>
          <w:lang w:eastAsia="zh-CN"/>
        </w:rPr>
        <w:t>、住房公积金</w:t>
      </w:r>
      <w:r>
        <w:rPr>
          <w:rFonts w:hint="eastAsia" w:ascii="仿宋_GB2312" w:hAnsi="仿宋_GB2312" w:eastAsia="仿宋_GB2312" w:cs="仿宋_GB2312"/>
          <w:sz w:val="32"/>
          <w:szCs w:val="32"/>
          <w:lang w:val="en-US" w:eastAsia="zh-CN"/>
        </w:rPr>
        <w:t>173.03万元</w:t>
      </w:r>
      <w:r>
        <w:rPr>
          <w:rFonts w:hint="eastAsia" w:ascii="仿宋_GB2312" w:hAnsi="仿宋_GB2312" w:eastAsia="仿宋_GB2312" w:cs="仿宋_GB2312"/>
          <w:sz w:val="32"/>
          <w:szCs w:val="32"/>
          <w:lang w:eastAsia="zh-CN"/>
        </w:rPr>
        <w:t>、离休费</w:t>
      </w:r>
      <w:r>
        <w:rPr>
          <w:rFonts w:hint="eastAsia" w:ascii="仿宋_GB2312" w:hAnsi="仿宋_GB2312" w:eastAsia="仿宋_GB2312" w:cs="仿宋_GB2312"/>
          <w:sz w:val="32"/>
          <w:szCs w:val="32"/>
          <w:lang w:val="en-US" w:eastAsia="zh-CN"/>
        </w:rPr>
        <w:t>11.45万元</w:t>
      </w:r>
      <w:r>
        <w:rPr>
          <w:rFonts w:hint="eastAsia" w:ascii="仿宋_GB2312" w:hAnsi="仿宋_GB2312" w:eastAsia="仿宋_GB2312" w:cs="仿宋_GB2312"/>
          <w:sz w:val="32"/>
          <w:szCs w:val="32"/>
          <w:lang w:eastAsia="zh-CN"/>
        </w:rPr>
        <w:t>、退休费</w:t>
      </w:r>
      <w:r>
        <w:rPr>
          <w:rFonts w:hint="eastAsia" w:ascii="仿宋_GB2312" w:hAnsi="仿宋_GB2312" w:eastAsia="仿宋_GB2312" w:cs="仿宋_GB2312"/>
          <w:sz w:val="32"/>
          <w:szCs w:val="32"/>
          <w:lang w:val="en-US" w:eastAsia="zh-CN"/>
        </w:rPr>
        <w:t>104.67万元</w:t>
      </w:r>
      <w:r>
        <w:rPr>
          <w:rFonts w:hint="eastAsia" w:ascii="仿宋_GB2312" w:hAnsi="仿宋_GB2312" w:eastAsia="仿宋_GB2312" w:cs="仿宋_GB2312"/>
          <w:sz w:val="32"/>
          <w:szCs w:val="32"/>
          <w:lang w:eastAsia="zh-CN"/>
        </w:rPr>
        <w:t>、生活补助</w:t>
      </w:r>
      <w:r>
        <w:rPr>
          <w:rFonts w:hint="eastAsia" w:ascii="仿宋_GB2312" w:hAnsi="仿宋_GB2312" w:eastAsia="仿宋_GB2312" w:cs="仿宋_GB2312"/>
          <w:sz w:val="32"/>
          <w:szCs w:val="32"/>
          <w:lang w:val="en-US" w:eastAsia="zh-CN"/>
        </w:rPr>
        <w:t>6.44万元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55.12万元，占基本支出的</w:t>
      </w:r>
      <w:r>
        <w:rPr>
          <w:rFonts w:hint="eastAsia" w:ascii="仿宋_GB2312" w:hAnsi="仿宋_GB2312" w:eastAsia="仿宋_GB2312" w:cs="仿宋_GB2312"/>
          <w:sz w:val="32"/>
          <w:szCs w:val="32"/>
          <w:lang w:val="en-US" w:eastAsia="zh-CN"/>
        </w:rPr>
        <w:t>3.06</w:t>
      </w:r>
      <w:r>
        <w:rPr>
          <w:rFonts w:hint="eastAsia" w:ascii="仿宋_GB2312" w:hAnsi="仿宋_GB2312" w:eastAsia="仿宋_GB2312" w:cs="仿宋_GB2312"/>
          <w:sz w:val="32"/>
          <w:szCs w:val="32"/>
        </w:rPr>
        <w:t>%，主要包括</w:t>
      </w:r>
      <w:r>
        <w:rPr>
          <w:rFonts w:hint="eastAsia" w:ascii="仿宋_GB2312" w:hAnsi="仿宋_GB2312" w:eastAsia="仿宋_GB2312" w:cs="仿宋_GB2312"/>
          <w:sz w:val="32"/>
          <w:szCs w:val="32"/>
          <w:lang w:eastAsia="zh-CN"/>
        </w:rPr>
        <w:t>专用材料费</w:t>
      </w:r>
      <w:r>
        <w:rPr>
          <w:rFonts w:hint="eastAsia" w:ascii="仿宋_GB2312" w:hAnsi="仿宋_GB2312" w:eastAsia="仿宋_GB2312" w:cs="仿宋_GB2312"/>
          <w:sz w:val="32"/>
          <w:szCs w:val="32"/>
          <w:lang w:val="en-US" w:eastAsia="zh-CN"/>
        </w:rPr>
        <w:t>17.16万元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工会经费</w:t>
      </w:r>
      <w:r>
        <w:rPr>
          <w:rFonts w:hint="eastAsia" w:ascii="仿宋_GB2312" w:hAnsi="仿宋_GB2312" w:eastAsia="仿宋_GB2312" w:cs="仿宋_GB2312"/>
          <w:sz w:val="32"/>
          <w:szCs w:val="32"/>
          <w:lang w:val="en-US" w:eastAsia="zh-CN"/>
        </w:rPr>
        <w:t>15.89万元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公务用车运行维护费</w:t>
      </w:r>
      <w:r>
        <w:rPr>
          <w:rFonts w:hint="eastAsia" w:ascii="仿宋_GB2312" w:hAnsi="仿宋_GB2312" w:eastAsia="仿宋_GB2312" w:cs="仿宋_GB2312"/>
          <w:sz w:val="32"/>
          <w:szCs w:val="32"/>
          <w:lang w:val="en-US" w:eastAsia="zh-CN"/>
        </w:rPr>
        <w:t>13.99万元、其他商品和服务支出8.08万元</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13.99</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77.72</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公务用车运行维护费结余，</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13.99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由于上年决算为</w:t>
      </w:r>
      <w:r>
        <w:rPr>
          <w:rFonts w:hint="eastAsia" w:ascii="仿宋_GB2312" w:hAnsi="仿宋_GB2312" w:eastAsia="仿宋_GB2312" w:cs="仿宋_GB2312"/>
          <w:sz w:val="32"/>
          <w:szCs w:val="32"/>
          <w:lang w:val="en-US" w:eastAsia="zh-CN"/>
        </w:rPr>
        <w:t>0，无法计算增长率</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上年没有安排“三公”经费预算</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因公出国（境）费支出预算为0万元，支出决算为0万元，决算数等于预算数，主要原因是我单位严格按预算执行决算；与上年一致，无增减变动，主要原因是未安排因公出国（境）活动。</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公务接待费支出预算为0万元，支出决算为0万元，决算数等于预算数，主要原因是严格执行中央八项规定；与上年一致，无增减变动，主要原因是按有关政策厉行节约，严控公务接待支出。 </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公务用车购置费支出预算为0万元，支出决算为0万元，决算数等于预算数，主要原因是我单位严格按预算执行决算；与上年一致，无增减变动，主要原因是两年均未购置公务用车。</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13.99</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77.72</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公务用车运行维护费有结余</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13.99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由于上年决算为</w:t>
      </w:r>
      <w:r>
        <w:rPr>
          <w:rFonts w:hint="eastAsia" w:ascii="仿宋_GB2312" w:hAnsi="仿宋_GB2312" w:eastAsia="仿宋_GB2312" w:cs="仿宋_GB2312"/>
          <w:sz w:val="32"/>
          <w:szCs w:val="32"/>
          <w:lang w:val="en-US" w:eastAsia="zh-CN"/>
        </w:rPr>
        <w:t>0，无法计算增长率</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上年未安排预算</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13.99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因公出国（境）费支出决算为0万元，全年安排因公出国（境）团组0个，累计0人次，我单位2023年度无因公出国（境）费支出。  </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公务接待费支出决算为0万元，全年共接待来访团组0个、来宾0人次，我单位2023年度无公务接待费支出。</w:t>
      </w:r>
      <w:r>
        <w:rPr>
          <w:rFonts w:hint="eastAsia" w:ascii="仿宋_GB2312" w:hAnsi="仿宋_GB2312" w:eastAsia="仿宋_GB2312" w:cs="仿宋_GB2312"/>
          <w:b w:val="0"/>
          <w:bCs/>
          <w:color w:val="FF0000"/>
          <w:kern w:val="0"/>
          <w:sz w:val="32"/>
          <w:szCs w:val="32"/>
          <w:lang w:val="en-US" w:eastAsia="zh-CN" w:bidi="ar-SA"/>
        </w:rPr>
        <w:t xml:space="preserve">  </w:t>
      </w:r>
      <w:r>
        <w:rPr>
          <w:rFonts w:hint="eastAsia" w:ascii="仿宋_GB2312" w:hAnsi="仿宋_GB2312" w:eastAsia="仿宋_GB2312" w:cs="仿宋_GB2312"/>
          <w:b w:val="0"/>
          <w:bCs/>
          <w:color w:val="auto"/>
          <w:kern w:val="0"/>
          <w:sz w:val="32"/>
          <w:szCs w:val="32"/>
          <w:lang w:val="en-US" w:eastAsia="zh-CN" w:bidi="ar-SA"/>
        </w:rPr>
        <w:t xml:space="preserve"> </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bookmarkStart w:id="0" w:name="_GoBack"/>
      <w:bookmarkEnd w:id="0"/>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13.99</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13.99</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车辆油费、维修费、保险</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ind w:firstLine="640" w:firstLineChars="200"/>
        <w:rPr>
          <w:rFonts w:hint="eastAsia" w:ascii="楷体" w:hAnsi="楷体" w:eastAsia="楷体" w:cs="楷体"/>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55.12</w:t>
      </w:r>
      <w:r>
        <w:rPr>
          <w:rFonts w:hint="eastAsia" w:ascii="仿宋_GB2312" w:hAnsi="仿宋_GB2312" w:eastAsia="仿宋_GB2312" w:cs="仿宋_GB2312"/>
          <w:sz w:val="32"/>
          <w:szCs w:val="32"/>
        </w:rPr>
        <w:t>万元，比上年决算数减少</w:t>
      </w:r>
      <w:r>
        <w:rPr>
          <w:rFonts w:hint="eastAsia" w:ascii="仿宋_GB2312" w:hAnsi="仿宋_GB2312" w:eastAsia="仿宋_GB2312" w:cs="仿宋_GB2312"/>
          <w:sz w:val="32"/>
          <w:szCs w:val="32"/>
          <w:lang w:val="en-US" w:eastAsia="zh-CN"/>
        </w:rPr>
        <w:t>767.67</w:t>
      </w:r>
      <w:r>
        <w:rPr>
          <w:rFonts w:hint="eastAsia" w:ascii="仿宋_GB2312" w:hAnsi="仿宋_GB2312" w:eastAsia="仿宋_GB2312" w:cs="仿宋_GB2312"/>
          <w:sz w:val="32"/>
          <w:szCs w:val="32"/>
        </w:rPr>
        <w:t>万元，降低</w:t>
      </w:r>
      <w:r>
        <w:rPr>
          <w:rFonts w:hint="eastAsia" w:ascii="仿宋_GB2312" w:hAnsi="仿宋_GB2312" w:eastAsia="仿宋_GB2312" w:cs="仿宋_GB2312"/>
          <w:sz w:val="32"/>
          <w:szCs w:val="32"/>
          <w:lang w:val="en-US" w:eastAsia="zh-CN"/>
        </w:rPr>
        <w:t>93.3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基本支出缩减了机关运行经费预算，大部分科目未安排预算。</w:t>
      </w:r>
    </w:p>
    <w:p>
      <w:pPr>
        <w:pStyle w:val="12"/>
        <w:numPr>
          <w:ilvl w:val="0"/>
          <w:numId w:val="5"/>
        </w:numPr>
        <w:ind w:firstLine="640" w:firstLineChars="200"/>
        <w:jc w:val="both"/>
        <w:rPr>
          <w:rFonts w:hint="eastAsia" w:ascii="Times New Roman" w:hAnsi="Times New Roman" w:eastAsia="仿宋_GB2312"/>
          <w:sz w:val="32"/>
          <w:szCs w:val="32"/>
        </w:rPr>
      </w:pPr>
      <w:r>
        <w:rPr>
          <w:rFonts w:hint="eastAsia" w:ascii="Times New Roman" w:hAnsi="Times New Roman" w:eastAsia="仿宋_GB2312"/>
          <w:sz w:val="32"/>
          <w:szCs w:val="32"/>
        </w:rPr>
        <w:t>印刷费今年决算数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万，上年决算数0.43万，减少</w:t>
      </w:r>
      <w:r>
        <w:rPr>
          <w:rFonts w:hint="eastAsia" w:ascii="Times New Roman" w:hAnsi="Times New Roman" w:eastAsia="仿宋_GB2312"/>
          <w:sz w:val="32"/>
          <w:szCs w:val="32"/>
          <w:lang w:val="en-US" w:eastAsia="zh-CN"/>
        </w:rPr>
        <w:t>0.43</w:t>
      </w:r>
      <w:r>
        <w:rPr>
          <w:rFonts w:hint="eastAsia" w:ascii="Times New Roman" w:hAnsi="Times New Roman" w:eastAsia="仿宋_GB2312"/>
          <w:sz w:val="32"/>
          <w:szCs w:val="32"/>
        </w:rPr>
        <w:t>万元，下降</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%，减少的主要原因是厉行节约，减少印刷品；</w:t>
      </w:r>
    </w:p>
    <w:p>
      <w:pPr>
        <w:pStyle w:val="12"/>
        <w:numPr>
          <w:ilvl w:val="0"/>
          <w:numId w:val="5"/>
        </w:numPr>
        <w:ind w:firstLine="640" w:firstLineChars="20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rPr>
        <w:t>水电费今年决算数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万，上年决算数</w:t>
      </w:r>
      <w:r>
        <w:rPr>
          <w:rFonts w:hint="eastAsia" w:ascii="Times New Roman" w:hAnsi="Times New Roman" w:eastAsia="仿宋_GB2312"/>
          <w:sz w:val="32"/>
          <w:szCs w:val="32"/>
          <w:lang w:val="en-US" w:eastAsia="zh-CN"/>
        </w:rPr>
        <w:t>10.4</w:t>
      </w:r>
      <w:r>
        <w:rPr>
          <w:rFonts w:hint="eastAsia" w:ascii="Times New Roman" w:hAnsi="Times New Roman" w:eastAsia="仿宋_GB2312"/>
          <w:sz w:val="32"/>
          <w:szCs w:val="32"/>
        </w:rPr>
        <w:t>万，减少</w:t>
      </w:r>
      <w:r>
        <w:rPr>
          <w:rFonts w:hint="eastAsia" w:ascii="Times New Roman" w:hAnsi="Times New Roman" w:eastAsia="仿宋_GB2312"/>
          <w:sz w:val="32"/>
          <w:szCs w:val="32"/>
          <w:lang w:val="en-US" w:eastAsia="zh-CN"/>
        </w:rPr>
        <w:t>10.4</w:t>
      </w:r>
      <w:r>
        <w:rPr>
          <w:rFonts w:hint="eastAsia" w:ascii="Times New Roman" w:hAnsi="Times New Roman" w:eastAsia="仿宋_GB2312"/>
          <w:sz w:val="32"/>
          <w:szCs w:val="32"/>
        </w:rPr>
        <w:t>万元，下降</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0%，减少的主要原因是厉行节约，节水节电；</w:t>
      </w:r>
    </w:p>
    <w:p>
      <w:pPr>
        <w:pStyle w:val="12"/>
        <w:numPr>
          <w:ilvl w:val="0"/>
          <w:numId w:val="5"/>
        </w:numPr>
        <w:ind w:left="0" w:leftChars="0" w:firstLine="640" w:firstLineChars="200"/>
        <w:jc w:val="both"/>
        <w:rPr>
          <w:rFonts w:hint="eastAsia" w:ascii="Times New Roman" w:hAnsi="Times New Roman" w:eastAsia="仿宋_GB2312"/>
          <w:bCs/>
          <w:sz w:val="32"/>
          <w:szCs w:val="32"/>
          <w:lang w:eastAsia="zh-CN"/>
        </w:rPr>
      </w:pPr>
      <w:r>
        <w:rPr>
          <w:rFonts w:hint="eastAsia" w:ascii="Times New Roman" w:hAnsi="Times New Roman" w:eastAsia="仿宋_GB2312"/>
          <w:sz w:val="32"/>
          <w:szCs w:val="32"/>
        </w:rPr>
        <w:t>差旅费今年决算数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万，上年决算数20.38万，</w:t>
      </w:r>
      <w:r>
        <w:rPr>
          <w:rFonts w:hint="eastAsia" w:ascii="Times New Roman" w:hAnsi="Times New Roman" w:eastAsia="仿宋_GB2312"/>
          <w:bCs/>
          <w:sz w:val="32"/>
          <w:szCs w:val="32"/>
          <w:lang w:eastAsia="zh-CN"/>
        </w:rPr>
        <w:t>减少</w:t>
      </w:r>
      <w:r>
        <w:rPr>
          <w:rFonts w:hint="eastAsia" w:ascii="Times New Roman" w:hAnsi="Times New Roman" w:eastAsia="仿宋_GB2312"/>
          <w:bCs/>
          <w:sz w:val="32"/>
          <w:szCs w:val="32"/>
          <w:lang w:val="en-US" w:eastAsia="zh-CN"/>
        </w:rPr>
        <w:t>20.38</w:t>
      </w:r>
      <w:r>
        <w:rPr>
          <w:rFonts w:hint="eastAsia" w:ascii="Times New Roman" w:hAnsi="Times New Roman" w:eastAsia="仿宋_GB2312"/>
          <w:bCs/>
          <w:sz w:val="32"/>
          <w:szCs w:val="32"/>
        </w:rPr>
        <w:t>万，</w:t>
      </w:r>
      <w:r>
        <w:rPr>
          <w:rFonts w:hint="eastAsia" w:ascii="Times New Roman" w:hAnsi="Times New Roman" w:eastAsia="仿宋_GB2312"/>
          <w:bCs/>
          <w:sz w:val="32"/>
          <w:szCs w:val="32"/>
          <w:lang w:eastAsia="zh-CN"/>
        </w:rPr>
        <w:t>下降</w:t>
      </w:r>
      <w:r>
        <w:rPr>
          <w:rFonts w:hint="eastAsia" w:ascii="Times New Roman" w:hAnsi="Times New Roman" w:eastAsia="仿宋_GB2312"/>
          <w:bCs/>
          <w:sz w:val="32"/>
          <w:szCs w:val="32"/>
          <w:lang w:val="en-US" w:eastAsia="zh-CN"/>
        </w:rPr>
        <w:t>100</w:t>
      </w:r>
      <w:r>
        <w:rPr>
          <w:rFonts w:hint="eastAsia" w:ascii="Times New Roman" w:hAnsi="Times New Roman" w:eastAsia="仿宋_GB2312"/>
          <w:bCs/>
          <w:sz w:val="32"/>
          <w:szCs w:val="32"/>
        </w:rPr>
        <w:t>%，主要原因是</w:t>
      </w:r>
      <w:r>
        <w:rPr>
          <w:rFonts w:hint="eastAsia" w:ascii="Times New Roman" w:hAnsi="Times New Roman" w:eastAsia="仿宋_GB2312"/>
          <w:bCs/>
          <w:sz w:val="32"/>
          <w:szCs w:val="32"/>
          <w:lang w:eastAsia="zh-CN"/>
        </w:rPr>
        <w:t>基本支出未安排差旅费预算；</w:t>
      </w:r>
    </w:p>
    <w:p>
      <w:pPr>
        <w:pStyle w:val="12"/>
        <w:numPr>
          <w:ilvl w:val="0"/>
          <w:numId w:val="5"/>
        </w:numPr>
        <w:ind w:left="0" w:leftChars="0" w:firstLine="640" w:firstLineChars="200"/>
        <w:jc w:val="both"/>
        <w:rPr>
          <w:rFonts w:hint="default" w:ascii="Times New Roman" w:hAnsi="Times New Roman" w:eastAsia="仿宋_GB2312"/>
          <w:bCs/>
          <w:sz w:val="32"/>
          <w:szCs w:val="32"/>
          <w:lang w:val="en-US" w:eastAsia="zh-CN"/>
        </w:rPr>
      </w:pPr>
      <w:r>
        <w:rPr>
          <w:rFonts w:hint="eastAsia" w:ascii="Times New Roman" w:hAnsi="Times New Roman" w:eastAsia="仿宋_GB2312"/>
          <w:sz w:val="32"/>
          <w:szCs w:val="32"/>
        </w:rPr>
        <w:t>会议费今年决算数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万，上年决算数</w:t>
      </w:r>
      <w:r>
        <w:rPr>
          <w:rFonts w:ascii="Times New Roman" w:hAnsi="Times New Roman" w:eastAsia="仿宋_GB2312"/>
          <w:sz w:val="32"/>
          <w:szCs w:val="32"/>
        </w:rPr>
        <w:t>23.68</w:t>
      </w:r>
      <w:r>
        <w:rPr>
          <w:rFonts w:hint="eastAsia" w:ascii="Times New Roman" w:hAnsi="Times New Roman" w:eastAsia="仿宋_GB2312"/>
          <w:sz w:val="32"/>
          <w:szCs w:val="32"/>
        </w:rPr>
        <w:t>万，</w:t>
      </w:r>
      <w:r>
        <w:rPr>
          <w:rFonts w:hint="eastAsia" w:ascii="Times New Roman" w:hAnsi="Times New Roman" w:eastAsia="仿宋_GB2312"/>
          <w:bCs/>
          <w:sz w:val="32"/>
          <w:szCs w:val="32"/>
        </w:rPr>
        <w:t>减少</w:t>
      </w:r>
      <w:r>
        <w:rPr>
          <w:rFonts w:hint="eastAsia" w:ascii="Times New Roman" w:hAnsi="Times New Roman" w:eastAsia="仿宋_GB2312"/>
          <w:bCs/>
          <w:sz w:val="32"/>
          <w:szCs w:val="32"/>
          <w:lang w:val="en-US" w:eastAsia="zh-CN"/>
        </w:rPr>
        <w:t>23.68</w:t>
      </w:r>
      <w:r>
        <w:rPr>
          <w:rFonts w:hint="eastAsia" w:ascii="Times New Roman" w:hAnsi="Times New Roman" w:eastAsia="仿宋_GB2312"/>
          <w:bCs/>
          <w:sz w:val="32"/>
          <w:szCs w:val="32"/>
        </w:rPr>
        <w:t>万，下降</w:t>
      </w:r>
      <w:r>
        <w:rPr>
          <w:rFonts w:hint="eastAsia" w:ascii="Times New Roman" w:hAnsi="Times New Roman" w:eastAsia="仿宋_GB2312"/>
          <w:bCs/>
          <w:sz w:val="32"/>
          <w:szCs w:val="32"/>
          <w:lang w:val="en-US" w:eastAsia="zh-CN"/>
        </w:rPr>
        <w:t>100</w:t>
      </w:r>
      <w:r>
        <w:rPr>
          <w:rFonts w:hint="eastAsia" w:ascii="Times New Roman" w:hAnsi="Times New Roman" w:eastAsia="仿宋_GB2312"/>
          <w:bCs/>
          <w:sz w:val="32"/>
          <w:szCs w:val="32"/>
        </w:rPr>
        <w:t>%，主要原因是</w:t>
      </w:r>
      <w:r>
        <w:rPr>
          <w:rFonts w:hint="eastAsia" w:ascii="Times New Roman" w:hAnsi="Times New Roman" w:eastAsia="仿宋_GB2312"/>
          <w:bCs/>
          <w:sz w:val="32"/>
          <w:szCs w:val="32"/>
          <w:lang w:eastAsia="zh-CN"/>
        </w:rPr>
        <w:t>基本支出未安排会议费预算；</w:t>
      </w:r>
    </w:p>
    <w:p>
      <w:pPr>
        <w:pStyle w:val="12"/>
        <w:numPr>
          <w:ilvl w:val="0"/>
          <w:numId w:val="5"/>
        </w:numPr>
        <w:ind w:left="0" w:leftChars="0" w:firstLine="640" w:firstLineChars="200"/>
        <w:jc w:val="both"/>
        <w:rPr>
          <w:rFonts w:hint="default" w:ascii="Times New Roman" w:hAnsi="Times New Roman" w:eastAsia="仿宋_GB2312"/>
          <w:bCs/>
          <w:sz w:val="32"/>
          <w:szCs w:val="32"/>
          <w:lang w:val="en-US" w:eastAsia="zh-CN"/>
        </w:rPr>
      </w:pPr>
      <w:r>
        <w:rPr>
          <w:rFonts w:hint="eastAsia" w:ascii="Times New Roman" w:hAnsi="Times New Roman" w:eastAsia="仿宋_GB2312"/>
          <w:bCs/>
          <w:sz w:val="32"/>
          <w:szCs w:val="32"/>
          <w:lang w:val="en-US" w:eastAsia="zh-CN"/>
        </w:rPr>
        <w:t>培训费今年决算数0万，上年决算数49.28万，减少49.28万，下降100%，主要原因是基本支出未安排培训费预算；</w:t>
      </w:r>
    </w:p>
    <w:p>
      <w:pPr>
        <w:pStyle w:val="12"/>
        <w:numPr>
          <w:ilvl w:val="0"/>
          <w:numId w:val="5"/>
        </w:numPr>
        <w:ind w:left="0" w:leftChars="0" w:firstLine="640" w:firstLineChars="200"/>
        <w:jc w:val="both"/>
        <w:rPr>
          <w:rFonts w:hint="default" w:ascii="Times New Roman" w:hAnsi="Times New Roman" w:eastAsia="仿宋_GB2312"/>
          <w:bCs/>
          <w:sz w:val="32"/>
          <w:szCs w:val="32"/>
          <w:lang w:val="en-US" w:eastAsia="zh-CN"/>
        </w:rPr>
      </w:pPr>
      <w:r>
        <w:rPr>
          <w:rFonts w:hint="eastAsia" w:ascii="Times New Roman" w:hAnsi="Times New Roman" w:eastAsia="仿宋_GB2312"/>
          <w:bCs/>
          <w:sz w:val="32"/>
          <w:szCs w:val="32"/>
          <w:lang w:val="en-US" w:eastAsia="zh-CN"/>
        </w:rPr>
        <w:t>劳务费今年决算数0万，上年决算数11.97万，减少11.97万，下降100%，主要原因是基本支出未安排劳务费预算；</w:t>
      </w:r>
    </w:p>
    <w:p>
      <w:pPr>
        <w:pStyle w:val="12"/>
        <w:numPr>
          <w:ilvl w:val="0"/>
          <w:numId w:val="5"/>
        </w:numPr>
        <w:ind w:left="0" w:leftChars="0" w:firstLine="640" w:firstLineChars="200"/>
        <w:jc w:val="both"/>
        <w:rPr>
          <w:rFonts w:hint="default" w:ascii="Times New Roman" w:hAnsi="Times New Roman" w:eastAsia="仿宋_GB2312"/>
          <w:bCs/>
          <w:sz w:val="32"/>
          <w:szCs w:val="32"/>
          <w:lang w:val="en-US" w:eastAsia="zh-CN"/>
        </w:rPr>
      </w:pPr>
      <w:r>
        <w:rPr>
          <w:rFonts w:hint="eastAsia" w:ascii="Times New Roman" w:hAnsi="Times New Roman" w:eastAsia="仿宋_GB2312"/>
          <w:sz w:val="32"/>
          <w:szCs w:val="32"/>
        </w:rPr>
        <w:t>日常维修费今年决算数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万，上年决算数20万，</w:t>
      </w:r>
      <w:r>
        <w:rPr>
          <w:rFonts w:hint="eastAsia" w:ascii="Times New Roman" w:hAnsi="Times New Roman" w:eastAsia="仿宋_GB2312"/>
          <w:bCs/>
          <w:sz w:val="32"/>
          <w:szCs w:val="32"/>
        </w:rPr>
        <w:t>减少</w:t>
      </w:r>
      <w:r>
        <w:rPr>
          <w:rFonts w:hint="eastAsia" w:ascii="Times New Roman" w:hAnsi="Times New Roman" w:eastAsia="仿宋_GB2312"/>
          <w:bCs/>
          <w:sz w:val="32"/>
          <w:szCs w:val="32"/>
          <w:lang w:val="en-US" w:eastAsia="zh-CN"/>
        </w:rPr>
        <w:t>20</w:t>
      </w:r>
      <w:r>
        <w:rPr>
          <w:rFonts w:hint="eastAsia" w:ascii="Times New Roman" w:hAnsi="Times New Roman" w:eastAsia="仿宋_GB2312"/>
          <w:bCs/>
          <w:sz w:val="32"/>
          <w:szCs w:val="32"/>
        </w:rPr>
        <w:t>万，下降</w:t>
      </w:r>
      <w:r>
        <w:rPr>
          <w:rFonts w:hint="eastAsia" w:ascii="Times New Roman" w:hAnsi="Times New Roman" w:eastAsia="仿宋_GB2312"/>
          <w:bCs/>
          <w:sz w:val="32"/>
          <w:szCs w:val="32"/>
          <w:lang w:val="en-US" w:eastAsia="zh-CN"/>
        </w:rPr>
        <w:t>100</w:t>
      </w:r>
      <w:r>
        <w:rPr>
          <w:rFonts w:hint="eastAsia" w:ascii="Times New Roman" w:hAnsi="Times New Roman" w:eastAsia="仿宋_GB2312"/>
          <w:bCs/>
          <w:sz w:val="32"/>
          <w:szCs w:val="32"/>
        </w:rPr>
        <w:t>%，主要原因是</w:t>
      </w:r>
      <w:r>
        <w:rPr>
          <w:rFonts w:hint="eastAsia" w:ascii="Times New Roman" w:hAnsi="Times New Roman" w:eastAsia="仿宋_GB2312"/>
          <w:bCs/>
          <w:sz w:val="32"/>
          <w:szCs w:val="32"/>
          <w:lang w:eastAsia="zh-CN"/>
        </w:rPr>
        <w:t>基本支出未安排维修费预算；</w:t>
      </w:r>
    </w:p>
    <w:p>
      <w:pPr>
        <w:pStyle w:val="12"/>
        <w:numPr>
          <w:ilvl w:val="0"/>
          <w:numId w:val="5"/>
        </w:numPr>
        <w:ind w:left="0" w:leftChars="0" w:firstLine="640" w:firstLineChars="200"/>
        <w:jc w:val="both"/>
        <w:rPr>
          <w:rFonts w:hint="eastAsia" w:ascii="Times New Roman" w:hAnsi="Times New Roman" w:eastAsia="仿宋_GB2312"/>
          <w:bCs/>
          <w:sz w:val="32"/>
          <w:szCs w:val="32"/>
        </w:rPr>
      </w:pPr>
      <w:r>
        <w:rPr>
          <w:rFonts w:hint="eastAsia" w:ascii="Times New Roman" w:hAnsi="Times New Roman" w:eastAsia="仿宋_GB2312"/>
          <w:sz w:val="32"/>
          <w:szCs w:val="32"/>
        </w:rPr>
        <w:t>专用材料费今年决算数</w:t>
      </w:r>
      <w:r>
        <w:rPr>
          <w:rFonts w:hint="eastAsia" w:ascii="Times New Roman" w:hAnsi="Times New Roman" w:eastAsia="仿宋_GB2312"/>
          <w:sz w:val="32"/>
          <w:szCs w:val="32"/>
          <w:lang w:val="en-US" w:eastAsia="zh-CN"/>
        </w:rPr>
        <w:t>17.16</w:t>
      </w:r>
      <w:r>
        <w:rPr>
          <w:rFonts w:hint="eastAsia" w:ascii="Times New Roman" w:hAnsi="Times New Roman" w:eastAsia="仿宋_GB2312"/>
          <w:sz w:val="32"/>
          <w:szCs w:val="32"/>
        </w:rPr>
        <w:t>万，上年决算数</w:t>
      </w:r>
      <w:r>
        <w:rPr>
          <w:rFonts w:ascii="Times New Roman" w:hAnsi="Times New Roman" w:eastAsia="仿宋_GB2312"/>
          <w:sz w:val="32"/>
          <w:szCs w:val="32"/>
        </w:rPr>
        <w:t>512.03</w:t>
      </w:r>
      <w:r>
        <w:rPr>
          <w:rFonts w:hint="eastAsia" w:ascii="Times New Roman" w:hAnsi="Times New Roman" w:eastAsia="仿宋_GB2312"/>
          <w:sz w:val="32"/>
          <w:szCs w:val="32"/>
        </w:rPr>
        <w:t>万，</w:t>
      </w:r>
      <w:r>
        <w:rPr>
          <w:rFonts w:hint="eastAsia" w:ascii="Times New Roman" w:hAnsi="Times New Roman" w:eastAsia="仿宋_GB2312"/>
          <w:bCs/>
          <w:sz w:val="32"/>
          <w:szCs w:val="32"/>
          <w:lang w:eastAsia="zh-CN"/>
        </w:rPr>
        <w:t>减少</w:t>
      </w:r>
      <w:r>
        <w:rPr>
          <w:rFonts w:hint="eastAsia" w:ascii="Times New Roman" w:hAnsi="Times New Roman" w:eastAsia="仿宋_GB2312"/>
          <w:bCs/>
          <w:sz w:val="32"/>
          <w:szCs w:val="32"/>
          <w:lang w:val="en-US" w:eastAsia="zh-CN"/>
        </w:rPr>
        <w:t>494.87</w:t>
      </w:r>
      <w:r>
        <w:rPr>
          <w:rFonts w:hint="eastAsia" w:ascii="Times New Roman" w:hAnsi="Times New Roman" w:eastAsia="仿宋_GB2312"/>
          <w:bCs/>
          <w:sz w:val="32"/>
          <w:szCs w:val="32"/>
        </w:rPr>
        <w:t>万，</w:t>
      </w:r>
      <w:r>
        <w:rPr>
          <w:rFonts w:hint="eastAsia" w:ascii="Times New Roman" w:hAnsi="Times New Roman" w:eastAsia="仿宋_GB2312"/>
          <w:bCs/>
          <w:sz w:val="32"/>
          <w:szCs w:val="32"/>
          <w:lang w:eastAsia="zh-CN"/>
        </w:rPr>
        <w:t>下降</w:t>
      </w:r>
      <w:r>
        <w:rPr>
          <w:rFonts w:hint="eastAsia" w:ascii="Times New Roman" w:hAnsi="Times New Roman" w:eastAsia="仿宋_GB2312"/>
          <w:bCs/>
          <w:sz w:val="32"/>
          <w:szCs w:val="32"/>
          <w:lang w:val="en-US" w:eastAsia="zh-CN"/>
        </w:rPr>
        <w:t>96.65</w:t>
      </w:r>
      <w:r>
        <w:rPr>
          <w:rFonts w:hint="eastAsia" w:ascii="Times New Roman" w:hAnsi="Times New Roman" w:eastAsia="仿宋_GB2312"/>
          <w:bCs/>
          <w:sz w:val="32"/>
          <w:szCs w:val="32"/>
        </w:rPr>
        <w:t>%，主要原因是</w:t>
      </w:r>
      <w:r>
        <w:rPr>
          <w:rFonts w:hint="eastAsia" w:ascii="Times New Roman" w:hAnsi="Times New Roman" w:eastAsia="仿宋_GB2312"/>
          <w:bCs/>
          <w:sz w:val="32"/>
          <w:szCs w:val="32"/>
          <w:lang w:eastAsia="zh-CN"/>
        </w:rPr>
        <w:t>基本支出安排专用材料费的预算减少；</w:t>
      </w:r>
    </w:p>
    <w:p>
      <w:pPr>
        <w:pStyle w:val="12"/>
        <w:numPr>
          <w:ilvl w:val="0"/>
          <w:numId w:val="5"/>
        </w:numPr>
        <w:ind w:left="0" w:leftChars="0" w:firstLine="640" w:firstLineChars="200"/>
        <w:jc w:val="both"/>
        <w:rPr>
          <w:rFonts w:hint="eastAsia" w:ascii="Times New Roman" w:hAnsi="Times New Roman" w:eastAsia="仿宋_GB2312"/>
          <w:bCs/>
          <w:sz w:val="32"/>
          <w:szCs w:val="32"/>
        </w:rPr>
      </w:pPr>
      <w:r>
        <w:rPr>
          <w:rFonts w:hint="eastAsia" w:ascii="Times New Roman" w:hAnsi="Times New Roman" w:eastAsia="仿宋_GB2312"/>
          <w:bCs/>
          <w:sz w:val="32"/>
          <w:szCs w:val="32"/>
          <w:lang w:eastAsia="zh-CN"/>
        </w:rPr>
        <w:t>工会经费今年决算数</w:t>
      </w:r>
      <w:r>
        <w:rPr>
          <w:rFonts w:hint="eastAsia" w:ascii="Times New Roman" w:hAnsi="Times New Roman" w:eastAsia="仿宋_GB2312"/>
          <w:bCs/>
          <w:sz w:val="32"/>
          <w:szCs w:val="32"/>
          <w:lang w:val="en-US" w:eastAsia="zh-CN"/>
        </w:rPr>
        <w:t>15.89万元，上年决算数0万元，增加15.89万元，由于上年决算数为0，无法计算增长率，增加的主要原因是因为今年安排了工会经费预算；</w:t>
      </w:r>
    </w:p>
    <w:p>
      <w:pPr>
        <w:pStyle w:val="12"/>
        <w:numPr>
          <w:ilvl w:val="0"/>
          <w:numId w:val="5"/>
        </w:numPr>
        <w:ind w:left="0" w:leftChars="0" w:firstLine="640" w:firstLineChars="200"/>
        <w:jc w:val="both"/>
        <w:rPr>
          <w:rFonts w:hint="eastAsia" w:ascii="Times New Roman" w:hAnsi="Times New Roman" w:eastAsia="仿宋_GB2312"/>
          <w:bCs/>
          <w:sz w:val="32"/>
          <w:szCs w:val="32"/>
        </w:rPr>
      </w:pPr>
      <w:r>
        <w:rPr>
          <w:rFonts w:hint="eastAsia" w:ascii="Times New Roman" w:hAnsi="Times New Roman" w:eastAsia="仿宋_GB2312"/>
          <w:bCs/>
          <w:sz w:val="32"/>
          <w:szCs w:val="32"/>
          <w:lang w:eastAsia="zh-CN"/>
        </w:rPr>
        <w:t>公务用车运行维护费</w:t>
      </w:r>
      <w:r>
        <w:rPr>
          <w:rFonts w:hint="eastAsia" w:ascii="Times New Roman" w:hAnsi="Times New Roman" w:eastAsia="仿宋_GB2312"/>
          <w:bCs/>
          <w:sz w:val="32"/>
          <w:szCs w:val="32"/>
          <w:lang w:val="en-US" w:eastAsia="zh-CN"/>
        </w:rPr>
        <w:t>13.99万元，上年决算数0万元，增加13.99万元，由于上年决算数为0，无法计算增长率，增加的主要原因是因为上年没有公务用车运行维护预算，今年安排了预算，有车辆相关的运行支出；</w:t>
      </w:r>
    </w:p>
    <w:p>
      <w:pPr>
        <w:pStyle w:val="12"/>
        <w:ind w:firstLine="640" w:firstLineChars="200"/>
        <w:jc w:val="both"/>
        <w:rPr>
          <w:rFonts w:hint="eastAsia" w:ascii="楷体" w:hAnsi="楷体" w:eastAsia="楷体" w:cs="楷体"/>
          <w:sz w:val="32"/>
          <w:szCs w:val="32"/>
        </w:rPr>
      </w:pPr>
      <w:r>
        <w:rPr>
          <w:rFonts w:hint="eastAsia" w:ascii="Times New Roman" w:hAnsi="Times New Roman" w:eastAsia="仿宋_GB2312"/>
          <w:sz w:val="32"/>
          <w:szCs w:val="32"/>
          <w:lang w:val="en-US" w:eastAsia="zh-CN"/>
        </w:rPr>
        <w:t>11、其他商品和服务支出今年决算数8.08万，上年决算数174.62万，减少166.54万，下降95.37%，主要原因是基本支出中仅离退休人员公用经费安排其他商品和服务支出预算。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本单位无会议费的预算和支出决算数；本单位无培训费的预算和支出决算数；本单位无举办节庆、晚会、论坛、赛事等活动的预算和支出决算数。</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5141.04</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3161.15</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272.86</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1707.03</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2317.84</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45.09</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1008.24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43.5</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66.44</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79.26</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0.08</w:t>
      </w:r>
      <w:r>
        <w:rPr>
          <w:rFonts w:hint="eastAsia" w:ascii="仿宋_GB2312" w:hAnsi="仿宋_GB2312" w:eastAsia="仿宋_GB2312" w:cs="仿宋_GB2312"/>
          <w:color w:val="auto"/>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37</w:t>
      </w:r>
      <w:r>
        <w:rPr>
          <w:rFonts w:hint="eastAsia" w:ascii="仿宋_GB2312" w:hAnsi="仿宋_GB2312" w:eastAsia="仿宋_GB2312" w:cs="仿宋_GB2312"/>
          <w:color w:val="auto"/>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3593.49万元，政府性基金预算支出0万元，国有资本经营预算支出0万元。从评价情况来看，整体支出绩效评价中，2023年整体支出31728.5万元，其中：基本支出25506.13万元，项目支出6222.37万元，本单位整体支出绩效自评综合评分88.75分，评价结果等次为良好。</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4个，共涉及资金450.43万元，占一般公共预算项目支出总额的25%。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96.43分，评价结果等次为优秀。</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根据年初设定的绩效目标，绩效自评得分为88.75 分。全年预算数为40955.45万元，执行数为31728.5 万元，完成预算的77.47%。绩效目标完成情况：一是重点学科数量维持在3个以上；二是医疗服务质量提升，体现在医疗服务收入占医疗收入的占比提高；三是及时按量完成了2023年非税上缴任务；四是药占比稳定在16%；四是保障医务人员工资性收入，人员支出在40%以上，五是通过提高医疗技术、手术复杂度的方式，医疗收入小幅增长；六是完成新院搬迁工作，为服务对象提高更好的医疗环境；七是注重环境保护，废物排放未对环境造成负面影响。发现的主要问题及原因：一是服务对象满意度未达95%以上；二是就诊人次增加，但医疗服务收入较上年度增速缓慢。下一步改进措施：一是提升服务质量，根据满意度调查情况分析原因，有针对性地提出改进措施，责令相关科室改善服务质量；二是医疗技术提升，合理安排医务人员进修培训，与医联体密切合作，聘请省市级专家来访指导临床工作。</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color w:val="FF0000"/>
          <w:sz w:val="32"/>
          <w:szCs w:val="32"/>
        </w:rPr>
      </w:pPr>
      <w:r>
        <w:rPr>
          <w:rFonts w:hint="eastAsia" w:ascii="Times New Roman" w:hAnsi="Times New Roman" w:eastAsia="仿宋_GB2312"/>
          <w:color w:val="FF0000"/>
          <w:sz w:val="32"/>
          <w:szCs w:val="32"/>
        </w:rPr>
        <w:t>总结归纳本部门（单位）支出的绩效目标完成情况，实现产出和取得效益的情况。围绕部门（单位）职责、行业发展规划，以预算资金管理为主线，总结部门（单位）资产管理和开展业务情况，从运行成本、管理效率、履职效能、社会效应、可持续发展能力和服务对象满意度等方面，衡量部门（单位）整体及核心业务实施效果。</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autoSpaceDE w:val="0"/>
        <w:autoSpaceDN w:val="0"/>
        <w:adjustRightInd w:val="0"/>
        <w:ind w:firstLine="640" w:firstLineChars="200"/>
        <w:jc w:val="left"/>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可以从预算和预算绩效管理，部门履职效能，资金分配、使用和管理，资产和财务管理、政府采购等方面归纳存在的问题；反映各种预算支出执行偏离绩效目标的情况，并分析其原因。</w:t>
      </w:r>
    </w:p>
    <w:p>
      <w:pPr>
        <w:autoSpaceDE w:val="0"/>
        <w:autoSpaceDN w:val="0"/>
        <w:adjustRightInd w:val="0"/>
        <w:ind w:firstLine="640"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通过绩效评价发现项目资金使用进度缓慢，集中在下半年使用，反映出资金使用率可能偏低，资金支付率与项目实际实施进度不相符的问题。由于项目实施由临床负责，而项目资金由财务管理，跨部门合作未建立良好的沟通反馈渠道，导致资金结余。为了让资金发挥最大效益，下一步措施：加强部门之间的沟通，打破“信息差”，保障资金在整个项目实施过程中及时按量使用。</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r>
        <w:rPr>
          <w:rFonts w:hint="eastAsia" w:ascii="楷体" w:hAnsi="楷体" w:eastAsia="楷体" w:cs="楷体"/>
          <w:b/>
          <w:bCs/>
          <w:i w:val="0"/>
          <w:iCs w:val="0"/>
          <w:color w:val="FF0000"/>
          <w:kern w:val="0"/>
          <w:sz w:val="36"/>
          <w:szCs w:val="36"/>
          <w:lang w:val="en-US" w:eastAsia="zh-CN"/>
        </w:rPr>
        <w:t>1、绩效评价报告（含整体支出和项目支出绩效自评表）必须作为附件上传；</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r>
        <w:rPr>
          <w:rFonts w:hint="eastAsia" w:ascii="楷体" w:hAnsi="楷体" w:eastAsia="楷体" w:cs="楷体"/>
          <w:b/>
          <w:bCs/>
          <w:i w:val="0"/>
          <w:iCs w:val="0"/>
          <w:color w:val="FF0000"/>
          <w:kern w:val="0"/>
          <w:sz w:val="36"/>
          <w:szCs w:val="36"/>
          <w:lang w:val="en-US" w:eastAsia="zh-CN"/>
        </w:rPr>
        <w:t>2、凡是有公开表3支出决 算表中有项目支出的，必须在第（一）点中根据模板详细进行说明，并且绩效自评报告中要包含《2023年度项目支出绩效自评表》；</w:t>
      </w:r>
    </w:p>
    <w:p>
      <w:pPr>
        <w:numPr>
          <w:ilvl w:val="0"/>
          <w:numId w:val="0"/>
        </w:numPr>
        <w:autoSpaceDE w:val="0"/>
        <w:autoSpaceDN w:val="0"/>
        <w:adjustRightInd w:val="0"/>
        <w:jc w:val="left"/>
        <w:rPr>
          <w:rFonts w:hint="default" w:ascii="楷体" w:hAnsi="楷体" w:eastAsia="楷体" w:cs="楷体"/>
          <w:b/>
          <w:bCs/>
          <w:i w:val="0"/>
          <w:iCs w:val="0"/>
          <w:color w:val="FF0000"/>
          <w:kern w:val="0"/>
          <w:sz w:val="36"/>
          <w:szCs w:val="36"/>
          <w:lang w:val="en-US" w:eastAsia="zh-CN"/>
        </w:rPr>
      </w:pPr>
      <w:r>
        <w:rPr>
          <w:rFonts w:hint="eastAsia" w:ascii="楷体" w:hAnsi="楷体" w:eastAsia="楷体" w:cs="楷体"/>
          <w:b/>
          <w:bCs/>
          <w:i w:val="0"/>
          <w:iCs w:val="0"/>
          <w:color w:val="FF0000"/>
          <w:kern w:val="0"/>
          <w:sz w:val="36"/>
          <w:szCs w:val="36"/>
          <w:lang w:val="en-US" w:eastAsia="zh-CN"/>
        </w:rPr>
        <w:t>3、项目支出为0的，必须在第（一）点中根据模板详细进行说明，并强调：本单位无项目支出，未开展项目绩效自评，无项目绩效自评结果。</w:t>
      </w:r>
    </w:p>
    <w:p>
      <w:pPr>
        <w:pStyle w:val="12"/>
        <w:jc w:val="both"/>
        <w:rPr>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pStyle w:val="2"/>
      </w:pPr>
    </w:p>
    <w:p/>
    <w:p>
      <w:pPr>
        <w:pStyle w:val="2"/>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b/>
          <w:bCs/>
          <w:i/>
          <w:color w:val="FF0000"/>
          <w:kern w:val="0"/>
          <w:sz w:val="32"/>
          <w:szCs w:val="32"/>
          <w:lang w:val="en-US" w:eastAsia="zh-CN" w:bidi="ar-SA"/>
        </w:rPr>
        <w:t>（名词解释应包含本部门专有名词，如省财政厅应有对“财政事务”科目的解释，可参考中央相关部门的名词解释）</w:t>
      </w:r>
    </w:p>
    <w:p>
      <w:pPr>
        <w:pStyle w:val="12"/>
        <w:jc w:val="center"/>
        <w:rPr>
          <w:rFonts w:hint="eastAsia" w:ascii="仿宋_GB2312" w:hAnsi="仿宋_GB2312" w:eastAsia="仿宋_GB2312" w:cs="仿宋_GB2312"/>
          <w:sz w:val="32"/>
          <w:szCs w:val="32"/>
        </w:rPr>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374155"/>
    <w:multiLevelType w:val="singleLevel"/>
    <w:tmpl w:val="CE374155"/>
    <w:lvl w:ilvl="0" w:tentative="0">
      <w:start w:val="1"/>
      <w:numFmt w:val="decimal"/>
      <w:suff w:val="nothing"/>
      <w:lvlText w:val="%1、"/>
      <w:lvlJc w:val="left"/>
      <w:pPr>
        <w:ind w:left="-10"/>
      </w:pPr>
      <w:rPr>
        <w:rFonts w:hint="default"/>
        <w:color w:val="auto"/>
      </w:rPr>
    </w:lvl>
  </w:abstractNum>
  <w:abstractNum w:abstractNumId="1">
    <w:nsid w:val="F5864A22"/>
    <w:multiLevelType w:val="singleLevel"/>
    <w:tmpl w:val="F5864A22"/>
    <w:lvl w:ilvl="0" w:tentative="0">
      <w:start w:val="1"/>
      <w:numFmt w:val="decimal"/>
      <w:suff w:val="nothing"/>
      <w:lvlText w:val="%1、"/>
      <w:lvlJc w:val="left"/>
    </w:lvl>
  </w:abstractNum>
  <w:abstractNum w:abstractNumId="2">
    <w:nsid w:val="1B6CB85F"/>
    <w:multiLevelType w:val="singleLevel"/>
    <w:tmpl w:val="1B6CB85F"/>
    <w:lvl w:ilvl="0" w:tentative="0">
      <w:start w:val="3"/>
      <w:numFmt w:val="decimal"/>
      <w:suff w:val="nothing"/>
      <w:lvlText w:val="%1、"/>
      <w:lvlJc w:val="left"/>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2323435"/>
    <w:multiLevelType w:val="singleLevel"/>
    <w:tmpl w:val="72323435"/>
    <w:lvl w:ilvl="0" w:tentative="0">
      <w:start w:val="2"/>
      <w:numFmt w:val="chineseCounting"/>
      <w:suff w:val="nothing"/>
      <w:lvlText w:val="（%1）"/>
      <w:lvlJc w:val="left"/>
      <w:rPr>
        <w:rFonts w:hint="eastAsia"/>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E46029"/>
    <w:rsid w:val="02071A61"/>
    <w:rsid w:val="030C3556"/>
    <w:rsid w:val="043D4E77"/>
    <w:rsid w:val="04F4673E"/>
    <w:rsid w:val="05080E89"/>
    <w:rsid w:val="059958AD"/>
    <w:rsid w:val="05FE4F54"/>
    <w:rsid w:val="06FA6082"/>
    <w:rsid w:val="06FE229C"/>
    <w:rsid w:val="0738697C"/>
    <w:rsid w:val="09CB300D"/>
    <w:rsid w:val="0A3D2805"/>
    <w:rsid w:val="0ACF3DEB"/>
    <w:rsid w:val="0B6401BF"/>
    <w:rsid w:val="0BD61E90"/>
    <w:rsid w:val="0C32700E"/>
    <w:rsid w:val="0CB27F3A"/>
    <w:rsid w:val="0DA711A4"/>
    <w:rsid w:val="0F927274"/>
    <w:rsid w:val="0FDB1AA7"/>
    <w:rsid w:val="107C4949"/>
    <w:rsid w:val="11A51879"/>
    <w:rsid w:val="122A0394"/>
    <w:rsid w:val="12583BA5"/>
    <w:rsid w:val="13BA5B9C"/>
    <w:rsid w:val="14C0309A"/>
    <w:rsid w:val="156B642A"/>
    <w:rsid w:val="157405BF"/>
    <w:rsid w:val="15A577C4"/>
    <w:rsid w:val="16F41D35"/>
    <w:rsid w:val="17256E13"/>
    <w:rsid w:val="175C68BA"/>
    <w:rsid w:val="17767A73"/>
    <w:rsid w:val="1A7F18ED"/>
    <w:rsid w:val="1B197114"/>
    <w:rsid w:val="1B7E43A7"/>
    <w:rsid w:val="1C9D073B"/>
    <w:rsid w:val="1D97DEFF"/>
    <w:rsid w:val="1DE75A9B"/>
    <w:rsid w:val="1DFF72E5"/>
    <w:rsid w:val="1EFC6F07"/>
    <w:rsid w:val="22046BDF"/>
    <w:rsid w:val="223A7FB3"/>
    <w:rsid w:val="22572406"/>
    <w:rsid w:val="22AC03C2"/>
    <w:rsid w:val="231D2AC2"/>
    <w:rsid w:val="2378543C"/>
    <w:rsid w:val="24983315"/>
    <w:rsid w:val="24E472F0"/>
    <w:rsid w:val="25040446"/>
    <w:rsid w:val="27715FC1"/>
    <w:rsid w:val="27C94452"/>
    <w:rsid w:val="27D0783E"/>
    <w:rsid w:val="27EF0472"/>
    <w:rsid w:val="2A852C52"/>
    <w:rsid w:val="2D1107DD"/>
    <w:rsid w:val="2FDF85B8"/>
    <w:rsid w:val="2FFFEE04"/>
    <w:rsid w:val="313D27E9"/>
    <w:rsid w:val="31946E04"/>
    <w:rsid w:val="31B639EF"/>
    <w:rsid w:val="31C95635"/>
    <w:rsid w:val="33E33D2E"/>
    <w:rsid w:val="34DF85B0"/>
    <w:rsid w:val="34E72711"/>
    <w:rsid w:val="36001C3A"/>
    <w:rsid w:val="37CE32A7"/>
    <w:rsid w:val="3B292ED4"/>
    <w:rsid w:val="3B8F36BC"/>
    <w:rsid w:val="3BD14C31"/>
    <w:rsid w:val="3F8810CB"/>
    <w:rsid w:val="412020E6"/>
    <w:rsid w:val="41B370D6"/>
    <w:rsid w:val="42B7691E"/>
    <w:rsid w:val="447E086E"/>
    <w:rsid w:val="44C335AB"/>
    <w:rsid w:val="459B28D7"/>
    <w:rsid w:val="4676245F"/>
    <w:rsid w:val="475F4F2A"/>
    <w:rsid w:val="4869465C"/>
    <w:rsid w:val="48846C5E"/>
    <w:rsid w:val="491FF225"/>
    <w:rsid w:val="49C65F48"/>
    <w:rsid w:val="4A061AFF"/>
    <w:rsid w:val="4ABC18B1"/>
    <w:rsid w:val="4B48662F"/>
    <w:rsid w:val="4D317F76"/>
    <w:rsid w:val="4DDF7D83"/>
    <w:rsid w:val="4E5A4B2F"/>
    <w:rsid w:val="4F267EE8"/>
    <w:rsid w:val="4FFD214C"/>
    <w:rsid w:val="508A08F4"/>
    <w:rsid w:val="52B93647"/>
    <w:rsid w:val="5352765A"/>
    <w:rsid w:val="559215A5"/>
    <w:rsid w:val="55DF2B6F"/>
    <w:rsid w:val="5777D4F5"/>
    <w:rsid w:val="59C42BCC"/>
    <w:rsid w:val="59DD8326"/>
    <w:rsid w:val="5A1C1946"/>
    <w:rsid w:val="5DEF3829"/>
    <w:rsid w:val="5DEF592A"/>
    <w:rsid w:val="5E7E038C"/>
    <w:rsid w:val="5FC6BB1E"/>
    <w:rsid w:val="5FEE32EF"/>
    <w:rsid w:val="5FF720F1"/>
    <w:rsid w:val="600D7286"/>
    <w:rsid w:val="61855105"/>
    <w:rsid w:val="638C4A5F"/>
    <w:rsid w:val="6399607A"/>
    <w:rsid w:val="64616B0E"/>
    <w:rsid w:val="654A44F6"/>
    <w:rsid w:val="67FF5C0B"/>
    <w:rsid w:val="690141F5"/>
    <w:rsid w:val="69620A20"/>
    <w:rsid w:val="6A4B4E73"/>
    <w:rsid w:val="6B172A82"/>
    <w:rsid w:val="6BAA4A2F"/>
    <w:rsid w:val="6C740CC0"/>
    <w:rsid w:val="6D9743BF"/>
    <w:rsid w:val="6DEF4C69"/>
    <w:rsid w:val="6EE67BF2"/>
    <w:rsid w:val="6EFC0924"/>
    <w:rsid w:val="6F60356E"/>
    <w:rsid w:val="6FA109E3"/>
    <w:rsid w:val="6FB74722"/>
    <w:rsid w:val="6FEF8B7E"/>
    <w:rsid w:val="712C3F43"/>
    <w:rsid w:val="718F64EF"/>
    <w:rsid w:val="71A6591B"/>
    <w:rsid w:val="72403538"/>
    <w:rsid w:val="72FB7A62"/>
    <w:rsid w:val="737D59BA"/>
    <w:rsid w:val="737F32B1"/>
    <w:rsid w:val="75E52B7B"/>
    <w:rsid w:val="77C37683"/>
    <w:rsid w:val="789A4C0A"/>
    <w:rsid w:val="79FF515B"/>
    <w:rsid w:val="7C0E2D42"/>
    <w:rsid w:val="7C336153"/>
    <w:rsid w:val="7CAF011B"/>
    <w:rsid w:val="7D1818C9"/>
    <w:rsid w:val="7D72325C"/>
    <w:rsid w:val="7E612002"/>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7474</Words>
  <Characters>8279</Characters>
  <Lines>63</Lines>
  <Paragraphs>18</Paragraphs>
  <TotalTime>0</TotalTime>
  <ScaleCrop>false</ScaleCrop>
  <LinksUpToDate>false</LinksUpToDate>
  <CharactersWithSpaces>8299</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2024-09-26T00:57:47Z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C3B3E5FC8B704889B1479FA56A60BBC6</vt:lpwstr>
  </property>
</Properties>
</file>