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岳阳市妇幼保健院</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w:t>
      </w:r>
    </w:p>
    <w:p>
      <w:pPr>
        <w:pStyle w:val="10"/>
        <w:jc w:val="center"/>
        <w:rPr>
          <w:rFonts w:ascii="方正小标宋_GBK" w:hAnsi="方正小标宋_GBK" w:eastAsia="方正小标宋_GBK" w:cs="方正小标宋_GBK"/>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both"/>
        <w:rPr>
          <w:b/>
          <w:sz w:val="36"/>
          <w:szCs w:val="28"/>
        </w:rPr>
      </w:pPr>
    </w:p>
    <w:p>
      <w:pPr>
        <w:pStyle w:val="10"/>
        <w:spacing w:line="480" w:lineRule="exact"/>
        <w:jc w:val="center"/>
        <w:rPr>
          <w:b/>
          <w:sz w:val="36"/>
          <w:szCs w:val="28"/>
        </w:rPr>
      </w:pPr>
      <w:r>
        <w:rPr>
          <w:rFonts w:hint="eastAsia"/>
          <w:b/>
          <w:sz w:val="36"/>
          <w:szCs w:val="28"/>
        </w:rPr>
        <w:t>目录</w:t>
      </w:r>
    </w:p>
    <w:p>
      <w:pPr>
        <w:pStyle w:val="10"/>
        <w:spacing w:line="480" w:lineRule="exact"/>
        <w:rPr>
          <w:rFonts w:hAnsi="黑体"/>
          <w:bCs/>
          <w:sz w:val="28"/>
          <w:szCs w:val="28"/>
        </w:rPr>
      </w:pPr>
      <w:r>
        <w:rPr>
          <w:rFonts w:hint="eastAsia" w:hAnsi="黑体"/>
          <w:bCs/>
          <w:sz w:val="28"/>
          <w:szCs w:val="28"/>
        </w:rPr>
        <w:t>第一部分 岳阳市妇幼保健院（单位）概况</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pPr>
        <w:pStyle w:val="10"/>
        <w:spacing w:line="480" w:lineRule="exact"/>
        <w:rPr>
          <w:rFonts w:hAnsi="黑体"/>
          <w:bCs/>
          <w:sz w:val="28"/>
          <w:szCs w:val="28"/>
        </w:rPr>
      </w:pPr>
      <w:r>
        <w:rPr>
          <w:rFonts w:hint="eastAsia" w:hAnsi="黑体"/>
          <w:bCs/>
          <w:sz w:val="28"/>
          <w:szCs w:val="28"/>
        </w:rPr>
        <w:t>第二部分 部门决算表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480" w:lineRule="exact"/>
        <w:rPr>
          <w:rFonts w:hAnsi="黑体"/>
          <w:bCs/>
          <w:sz w:val="28"/>
          <w:szCs w:val="28"/>
        </w:rPr>
      </w:pPr>
      <w:r>
        <w:rPr>
          <w:rFonts w:hint="eastAsia" w:hAnsi="黑体"/>
          <w:bCs/>
          <w:sz w:val="28"/>
          <w:szCs w:val="28"/>
        </w:rPr>
        <w:t>第三部分 部门决算情况说明</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48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国有资本经营预算财政拨款支出决算情况</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九、财政拨款三公经费支出决算情况说明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十三、关于国有资产占用情况说明</w:t>
      </w:r>
    </w:p>
    <w:p>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十四、关于预算绩效情况的说明</w:t>
      </w:r>
    </w:p>
    <w:p>
      <w:pPr>
        <w:pStyle w:val="10"/>
        <w:spacing w:line="480" w:lineRule="exact"/>
        <w:rPr>
          <w:rFonts w:hAnsi="黑体"/>
          <w:bCs/>
          <w:sz w:val="28"/>
          <w:szCs w:val="28"/>
        </w:rPr>
      </w:pPr>
      <w:r>
        <w:rPr>
          <w:rFonts w:hint="eastAsia" w:hAnsi="黑体"/>
          <w:bCs/>
          <w:sz w:val="28"/>
          <w:szCs w:val="28"/>
        </w:rPr>
        <w:t>第四部分 名词解释</w:t>
      </w:r>
    </w:p>
    <w:p>
      <w:pPr>
        <w:pStyle w:val="10"/>
        <w:spacing w:line="480" w:lineRule="exact"/>
        <w:rPr>
          <w:rFonts w:hAnsi="黑体"/>
          <w:bCs/>
          <w:sz w:val="28"/>
          <w:szCs w:val="28"/>
        </w:rPr>
      </w:pPr>
      <w:r>
        <w:rPr>
          <w:rFonts w:hint="eastAsia" w:hAnsi="黑体"/>
          <w:bCs/>
          <w:sz w:val="28"/>
          <w:szCs w:val="28"/>
        </w:rPr>
        <w:t>第五部分 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rPr>
          <w:rFonts w:ascii="方正小标宋_GBK" w:hAnsi="方正小标宋_GBK" w:eastAsia="方正小标宋_GBK" w:cs="方正小标宋_GBK"/>
          <w:sz w:val="72"/>
          <w:szCs w:val="72"/>
        </w:rPr>
      </w:pPr>
    </w:p>
    <w:p>
      <w:pPr>
        <w:rPr>
          <w:rFonts w:ascii="方正小标宋_GBK" w:hAnsi="方正小标宋_GBK" w:eastAsia="方正小标宋_GBK" w:cs="方正小标宋_GBK"/>
          <w:sz w:val="72"/>
          <w:szCs w:val="72"/>
        </w:rPr>
      </w:pPr>
    </w:p>
    <w:p>
      <w:pPr>
        <w:rPr>
          <w:rFonts w:ascii="方正小标宋_GBK" w:hAnsi="方正小标宋_GBK" w:eastAsia="方正小标宋_GBK" w:cs="方正小标宋_GBK"/>
          <w:sz w:val="72"/>
          <w:szCs w:val="72"/>
        </w:rPr>
      </w:pPr>
    </w:p>
    <w:p>
      <w:pPr>
        <w:rPr>
          <w:rFonts w:ascii="方正小标宋_GBK" w:hAnsi="方正小标宋_GBK" w:eastAsia="方正小标宋_GBK" w:cs="方正小标宋_GBK"/>
          <w:sz w:val="72"/>
          <w:szCs w:val="72"/>
        </w:rPr>
      </w:pPr>
    </w:p>
    <w:p>
      <w:pPr>
        <w:rPr>
          <w:rFonts w:ascii="方正小标宋_GBK" w:hAnsi="方正小标宋_GBK" w:eastAsia="方正小标宋_GBK" w:cs="方正小标宋_GBK"/>
          <w:sz w:val="72"/>
          <w:szCs w:val="72"/>
        </w:rPr>
      </w:pPr>
    </w:p>
    <w:p>
      <w:pP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岳阳市妇幼保健院</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pStyle w:val="11"/>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ind w:firstLine="800" w:firstLineChars="25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（一）负责指导全市妇幼保健工作，指导乡镇卫生院产 科建设，开展社区卫生服务。</w:t>
      </w:r>
    </w:p>
    <w:p>
      <w:pPr>
        <w:ind w:firstLine="800" w:firstLineChars="250"/>
        <w:jc w:val="left"/>
        <w:rPr>
          <w:rFonts w:ascii="仿宋_GB2312" w:hAnsi="宋体" w:eastAsia="仿宋_GB2312" w:cs="宋体"/>
          <w:kern w:val="0"/>
          <w:sz w:val="28"/>
          <w:szCs w:val="28"/>
        </w:rPr>
      </w:pPr>
      <w:r>
        <w:rPr>
          <w:rFonts w:hint="eastAsia" w:ascii="Times New Roman" w:hAnsi="Times New Roman" w:eastAsia="仿宋_GB2312" w:cs="仿宋_GB2312"/>
          <w:sz w:val="32"/>
          <w:szCs w:val="32"/>
        </w:rPr>
        <w:t>（二）</w:t>
      </w:r>
      <w:r>
        <w:rPr>
          <w:rFonts w:hint="eastAsia" w:ascii="仿宋_GB2312" w:hAnsi="宋体" w:eastAsia="仿宋_GB2312" w:cs="宋体"/>
          <w:kern w:val="0"/>
          <w:sz w:val="28"/>
          <w:szCs w:val="28"/>
        </w:rPr>
        <w:t>负责全市妇幼卫生干部培训工作。</w:t>
      </w:r>
    </w:p>
    <w:p>
      <w:pPr>
        <w:ind w:firstLine="840" w:firstLineChars="300"/>
        <w:jc w:val="left"/>
        <w:rPr>
          <w:rFonts w:ascii="Times New Roman" w:hAnsi="Times New Roman" w:eastAsia="仿宋_GB2312" w:cs="仿宋_GB2312"/>
          <w:sz w:val="32"/>
          <w:szCs w:val="32"/>
        </w:rPr>
      </w:pPr>
      <w:r>
        <w:rPr>
          <w:rFonts w:hint="eastAsia" w:ascii="仿宋_GB2312" w:hAnsi="宋体" w:eastAsia="仿宋_GB2312" w:cs="宋体"/>
          <w:kern w:val="0"/>
          <w:sz w:val="28"/>
          <w:szCs w:val="28"/>
        </w:rPr>
        <w:t>（三）负责贯彻执行《母婴保健法》，开展母婴保健服务技术指导工作。</w:t>
      </w:r>
    </w:p>
    <w:p>
      <w:pPr>
        <w:jc w:val="left"/>
        <w:rPr>
          <w:rFonts w:ascii="仿宋_GB2312" w:hAnsi="宋体" w:eastAsia="仿宋_GB2312" w:cs="宋体"/>
          <w:kern w:val="0"/>
          <w:sz w:val="28"/>
          <w:szCs w:val="28"/>
        </w:rPr>
      </w:pPr>
      <w:r>
        <w:rPr>
          <w:rFonts w:hint="eastAsia" w:ascii="Times New Roman" w:hAnsi="Times New Roman" w:eastAsia="仿宋_GB2312" w:cs="仿宋_GB2312"/>
          <w:sz w:val="32"/>
          <w:szCs w:val="32"/>
        </w:rPr>
        <w:t xml:space="preserve">     （四）</w:t>
      </w:r>
      <w:r>
        <w:rPr>
          <w:rFonts w:hint="eastAsia" w:ascii="仿宋_GB2312" w:hAnsi="宋体" w:eastAsia="仿宋_GB2312" w:cs="宋体"/>
          <w:kern w:val="0"/>
          <w:sz w:val="28"/>
          <w:szCs w:val="28"/>
        </w:rPr>
        <w:t>负责全市孕产妇急救服务工作。</w:t>
      </w:r>
    </w:p>
    <w:p>
      <w:pPr>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（五）负责全市妇幼卫生信息统计分析。</w:t>
      </w:r>
    </w:p>
    <w:p>
      <w:pPr>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（六）负责全市爱婴医院创建、医疗、科研、健康教育等工作。</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（七）协助卫生行政部门制定全市妇幼卫生工作规划并组织实施，提高出生人口素质以及全民族身体素质。</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pPr>
        <w:widowControl/>
        <w:spacing w:line="60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岳阳市妇幼保健院</w:t>
      </w:r>
      <w:r>
        <w:rPr>
          <w:rFonts w:hint="eastAsia" w:ascii="仿宋_GB2312" w:hAnsi="宋体" w:eastAsia="仿宋_GB2312" w:cs="宋体"/>
          <w:bCs/>
          <w:kern w:val="0"/>
          <w:sz w:val="28"/>
          <w:szCs w:val="28"/>
        </w:rPr>
        <w:t>内设机构包括</w:t>
      </w:r>
      <w:r>
        <w:rPr>
          <w:rFonts w:hint="eastAsia" w:eastAsia="仿宋_GB2312" w:cs="宋体" w:asciiTheme="minorHAnsi" w:hAnsiTheme="minorHAnsi"/>
          <w:bCs/>
          <w:kern w:val="0"/>
          <w:sz w:val="28"/>
          <w:szCs w:val="28"/>
        </w:rPr>
        <w:t>：</w:t>
      </w:r>
      <w:r>
        <w:rPr>
          <w:rFonts w:hint="eastAsia" w:ascii="仿宋_GB2312" w:hAnsi="宋体" w:eastAsia="仿宋_GB2312" w:cs="宋体"/>
          <w:kern w:val="0"/>
          <w:sz w:val="28"/>
          <w:szCs w:val="28"/>
        </w:rPr>
        <w:t>产科、新生儿科、儿童保健科、儿科、妇外科、妇女保健科、生殖医学中心、外科、急诊科、麻醉科、检验科、医学遗传科、功能科、病理科、门诊部、手术室、产后康复中心等，职能科室包括政工科、保健部、医务科、财务科、护理部、传染病管理科、科教科、行政科、医保科、健康教育科、监察室、质控科、设备科、病案管理科、采购办、绩效办、审计科、院感科、信息科等。</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 xml:space="preserve">（二）决算单位构成。 </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本单位无独立核算的下属单位，2022年部门决算汇总公开单位仅包括岳阳市妇幼保健院本级。</w:t>
      </w:r>
    </w:p>
    <w:p>
      <w:pPr>
        <w:jc w:val="left"/>
        <w:rPr>
          <w:rFonts w:ascii="仿宋_GB2312" w:hAnsi="宋体" w:eastAsia="仿宋_GB2312"/>
          <w:sz w:val="28"/>
          <w:szCs w:val="32"/>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r>
        <w:rPr>
          <w:rFonts w:hint="eastAsia"/>
          <w:sz w:val="72"/>
          <w:szCs w:val="72"/>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jc w:val="both"/>
        <w:rPr>
          <w:rFonts w:ascii="方正小标宋_GBK" w:hAnsi="方正小标宋_GBK" w:eastAsia="方正小标宋_GBK" w:cs="方正小标宋_GBK"/>
          <w:sz w:val="72"/>
          <w:szCs w:val="72"/>
        </w:rPr>
      </w:pPr>
    </w:p>
    <w:p>
      <w:pPr>
        <w:pStyle w:val="10"/>
        <w:jc w:val="both"/>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0"/>
        <w:jc w:val="center"/>
        <w:rPr>
          <w:rFonts w:ascii="方正小标宋_GBK" w:hAnsi="方正小标宋_GBK" w:eastAsia="方正小标宋_GBK" w:cs="方正小标宋_GBK"/>
          <w:sz w:val="70"/>
          <w:szCs w:val="70"/>
        </w:rPr>
      </w:pPr>
    </w:p>
    <w:p>
      <w:pPr>
        <w:pStyle w:val="10"/>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宋体" w:hAnsi="宋体"/>
          <w:sz w:val="32"/>
          <w:szCs w:val="32"/>
        </w:rPr>
      </w:pPr>
      <w:r>
        <w:rPr>
          <w:rFonts w:hint="eastAsia" w:ascii="方正小标宋_GBK" w:hAnsi="方正小标宋_GBK" w:eastAsia="方正小标宋_GBK" w:cs="方正小标宋_GBK"/>
          <w:sz w:val="70"/>
          <w:szCs w:val="70"/>
        </w:rPr>
        <w:br w:type="page"/>
      </w:r>
      <w:r>
        <w:rPr>
          <w:rFonts w:hint="eastAsia" w:ascii="方正小标宋_GBK" w:hAnsi="方正小标宋_GBK" w:eastAsia="方正小标宋_GBK" w:cs="方正小标宋_GBK"/>
          <w:sz w:val="70"/>
          <w:szCs w:val="70"/>
        </w:rPr>
        <w:t xml:space="preserve">  </w:t>
      </w:r>
      <w:r>
        <w:rPr>
          <w:rFonts w:hint="eastAsia" w:ascii="仿宋_GB2312" w:hAnsi="仿宋_GB2312" w:eastAsia="仿宋_GB2312" w:cs="仿宋_GB2312"/>
          <w:sz w:val="32"/>
          <w:szCs w:val="32"/>
        </w:rPr>
        <w:t>（</w:t>
      </w:r>
      <w:r>
        <w:rPr>
          <w:rFonts w:hint="eastAsia" w:ascii="黑体" w:hAnsi="黑体" w:eastAsia="黑体" w:cs="黑体"/>
          <w:sz w:val="32"/>
          <w:szCs w:val="32"/>
        </w:rPr>
        <w:t>说明：</w:t>
      </w:r>
      <w:r>
        <w:rPr>
          <w:rFonts w:hint="eastAsia" w:ascii="仿宋_GB2312" w:hAnsi="仿宋_GB2312" w:eastAsia="仿宋_GB2312" w:cs="仿宋_GB2312"/>
          <w:sz w:val="32"/>
          <w:szCs w:val="32"/>
        </w:rPr>
        <w:t>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w:t>
      </w:r>
      <w:r>
        <w:rPr>
          <w:rFonts w:hint="eastAsia" w:ascii="Times New Roman" w:hAnsi="Times New Roman" w:eastAsia="仿宋_GB2312"/>
          <w:sz w:val="32"/>
          <w:szCs w:val="32"/>
        </w:rPr>
        <w:t>完成年初预算的XX%</w:t>
      </w:r>
      <w:r>
        <w:rPr>
          <w:rFonts w:hint="eastAsia" w:ascii="仿宋_GB2312" w:hAnsi="仿宋_GB2312" w:eastAsia="仿宋_GB2312" w:cs="仿宋_GB2312"/>
          <w:sz w:val="32"/>
          <w:szCs w:val="32"/>
        </w:rPr>
        <w:t>”。）</w:t>
      </w:r>
    </w:p>
    <w:p>
      <w:pPr>
        <w:pStyle w:val="10"/>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2022年度收、支总计37617.45万元。与上年相比，增加7231.05万元，增长23.80%，主要原因是新院储备人才，人员支出增加，以及迁建项目的主体工程完工后，设备支出增加。</w:t>
      </w:r>
    </w:p>
    <w:p>
      <w:pPr>
        <w:pStyle w:val="10"/>
        <w:spacing w:line="600" w:lineRule="exact"/>
        <w:ind w:firstLine="640" w:firstLineChars="200"/>
        <w:rPr>
          <w:rFonts w:hAnsi="黑体"/>
          <w:bCs/>
          <w:sz w:val="32"/>
          <w:szCs w:val="32"/>
        </w:rPr>
      </w:pPr>
      <w:r>
        <w:rPr>
          <w:rFonts w:hint="eastAsia" w:hAnsi="黑体"/>
          <w:bCs/>
          <w:sz w:val="32"/>
          <w:szCs w:val="32"/>
        </w:rPr>
        <w:t>二、收入决算情况说明</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2022年度收入合计37617.45万元，其中：财政拨款收入2308.05万元，占6.14%；上级补助收入0万元，占0%；事业收入</w:t>
      </w:r>
      <w:r>
        <w:rPr>
          <w:rFonts w:ascii="Times New Roman" w:hAnsi="Times New Roman" w:eastAsia="仿宋_GB2312"/>
          <w:sz w:val="32"/>
          <w:szCs w:val="32"/>
        </w:rPr>
        <w:t>25145.06</w:t>
      </w:r>
      <w:r>
        <w:rPr>
          <w:rFonts w:hint="eastAsia" w:ascii="Times New Roman" w:hAnsi="Times New Roman" w:eastAsia="仿宋_GB2312"/>
          <w:sz w:val="32"/>
          <w:szCs w:val="32"/>
        </w:rPr>
        <w:t>万元，占66.84%；经营收入0万元，占0%；附属单位上缴收入0万元，占0%；其他收入10164.34万元，占27.02%。</w:t>
      </w:r>
    </w:p>
    <w:p>
      <w:pPr>
        <w:pStyle w:val="10"/>
        <w:spacing w:line="600" w:lineRule="exact"/>
        <w:ind w:firstLine="640" w:firstLineChars="200"/>
        <w:rPr>
          <w:rFonts w:hAnsi="黑体"/>
          <w:bCs/>
          <w:sz w:val="32"/>
          <w:szCs w:val="32"/>
        </w:rPr>
      </w:pPr>
      <w:r>
        <w:rPr>
          <w:rFonts w:hint="eastAsia" w:hAnsi="黑体"/>
          <w:bCs/>
          <w:sz w:val="32"/>
          <w:szCs w:val="32"/>
        </w:rPr>
        <w:t>三、支出决算情况说明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2022年度支出合计34213.25万元，其中：基本支出34213.25万元，占100%；项目支出0万元，占0%；上缴上级支出0万元，占0%；经营支出0万元，占0%；对附属单位补助支出0万元，占0%。</w:t>
      </w:r>
    </w:p>
    <w:p>
      <w:pPr>
        <w:pStyle w:val="10"/>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0"/>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2022年度财政拨款收、支总计</w:t>
      </w:r>
      <w:r>
        <w:rPr>
          <w:rFonts w:ascii="Times New Roman" w:hAnsi="Times New Roman" w:eastAsia="仿宋_GB2312"/>
          <w:sz w:val="32"/>
          <w:szCs w:val="32"/>
        </w:rPr>
        <w:t>2308.05</w:t>
      </w:r>
      <w:r>
        <w:rPr>
          <w:rFonts w:hint="eastAsia" w:ascii="Times New Roman" w:hAnsi="Times New Roman" w:eastAsia="仿宋_GB2312"/>
          <w:sz w:val="32"/>
          <w:szCs w:val="32"/>
        </w:rPr>
        <w:t>万元，与上年相比，增加595.72万元,增长34.79%，主要原因是重点学科专项以及科研经费结转在本年使用。</w:t>
      </w:r>
    </w:p>
    <w:p>
      <w:pPr>
        <w:pStyle w:val="10"/>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0"/>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0"/>
        <w:spacing w:line="600" w:lineRule="exact"/>
        <w:ind w:firstLine="800" w:firstLineChars="250"/>
        <w:rPr>
          <w:rFonts w:ascii="楷体" w:hAnsi="楷体" w:eastAsia="楷体" w:cs="楷体"/>
          <w:i/>
          <w:iCs/>
          <w:sz w:val="32"/>
          <w:szCs w:val="32"/>
        </w:rPr>
      </w:pPr>
      <w:r>
        <w:rPr>
          <w:rFonts w:hint="eastAsia" w:ascii="Times New Roman" w:hAnsi="Times New Roman" w:eastAsia="仿宋_GB2312"/>
          <w:sz w:val="32"/>
          <w:szCs w:val="32"/>
        </w:rPr>
        <w:t>2022年度财政拨款支出</w:t>
      </w:r>
      <w:r>
        <w:rPr>
          <w:rFonts w:ascii="Times New Roman" w:hAnsi="Times New Roman" w:eastAsia="仿宋_GB2312"/>
          <w:sz w:val="32"/>
          <w:szCs w:val="32"/>
        </w:rPr>
        <w:t>2308.05</w:t>
      </w:r>
      <w:r>
        <w:rPr>
          <w:rFonts w:hint="eastAsia" w:ascii="Times New Roman" w:hAnsi="Times New Roman" w:eastAsia="仿宋_GB2312"/>
          <w:sz w:val="32"/>
          <w:szCs w:val="32"/>
        </w:rPr>
        <w:t>万元，占本年支出合计的6.75%，与上年相比，财政拨款支出增加482.42万元，增长26.42%，主要原因是重点学科、科研支出增加。</w:t>
      </w:r>
    </w:p>
    <w:p>
      <w:pPr>
        <w:pStyle w:val="10"/>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0"/>
        <w:ind w:firstLine="640" w:firstLineChars="200"/>
        <w:rPr>
          <w:rFonts w:ascii="楷体" w:hAnsi="楷体" w:eastAsia="楷体" w:cs="楷体"/>
          <w:sz w:val="32"/>
          <w:szCs w:val="32"/>
        </w:rPr>
      </w:pPr>
      <w:r>
        <w:rPr>
          <w:rFonts w:hint="eastAsia" w:ascii="Times New Roman" w:hAnsi="Times New Roman" w:eastAsia="仿宋_GB2312"/>
          <w:sz w:val="32"/>
          <w:szCs w:val="32"/>
        </w:rPr>
        <w:t>2022年度财政拨款支出2308.05万元，主要用于以下方面：科学技术支出（类）支出</w:t>
      </w:r>
      <w:r>
        <w:rPr>
          <w:rFonts w:hint="eastAsia" w:ascii="Times New Roman" w:hAnsi="Times New Roman" w:eastAsia="仿宋_GB2312"/>
          <w:color w:val="0000FF"/>
          <w:sz w:val="32"/>
          <w:szCs w:val="32"/>
        </w:rPr>
        <w:t>45.6</w:t>
      </w:r>
      <w:r>
        <w:rPr>
          <w:rFonts w:hint="default" w:ascii="Times New Roman" w:hAnsi="Times New Roman" w:eastAsia="仿宋_GB2312"/>
          <w:color w:val="0000FF"/>
          <w:sz w:val="32"/>
          <w:szCs w:val="32"/>
          <w:lang w:val="en-US"/>
        </w:rPr>
        <w:t>3</w:t>
      </w:r>
      <w:r>
        <w:rPr>
          <w:rFonts w:hint="eastAsia" w:ascii="Times New Roman" w:hAnsi="Times New Roman" w:eastAsia="仿宋_GB2312"/>
          <w:sz w:val="32"/>
          <w:szCs w:val="32"/>
        </w:rPr>
        <w:t>万元，占1.98%；社会保障和就业支出（类）支出728.23万元，占31.55%;卫生健康支出1534.2万元，占66.47%。</w:t>
      </w:r>
    </w:p>
    <w:p>
      <w:pPr>
        <w:pStyle w:val="10"/>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2022年度财政拨款支出年初预算数为</w:t>
      </w:r>
      <w:r>
        <w:rPr>
          <w:rFonts w:ascii="Times New Roman" w:hAnsi="Times New Roman" w:eastAsia="仿宋_GB2312"/>
          <w:sz w:val="32"/>
          <w:szCs w:val="32"/>
        </w:rPr>
        <w:t>1601.56</w:t>
      </w:r>
      <w:r>
        <w:rPr>
          <w:rFonts w:hint="eastAsia" w:ascii="Times New Roman" w:hAnsi="Times New Roman" w:eastAsia="仿宋_GB2312"/>
          <w:sz w:val="32"/>
          <w:szCs w:val="32"/>
        </w:rPr>
        <w:t>万元，支出决算数为</w:t>
      </w:r>
      <w:r>
        <w:rPr>
          <w:rFonts w:ascii="Times New Roman" w:hAnsi="Times New Roman" w:eastAsia="仿宋_GB2312"/>
          <w:sz w:val="32"/>
          <w:szCs w:val="32"/>
        </w:rPr>
        <w:t>2308.05</w:t>
      </w:r>
      <w:r>
        <w:rPr>
          <w:rFonts w:hint="eastAsia" w:ascii="Times New Roman" w:hAnsi="Times New Roman" w:eastAsia="仿宋_GB2312"/>
          <w:sz w:val="32"/>
          <w:szCs w:val="32"/>
        </w:rPr>
        <w:t>万元，完成年初预算的144%，其中：</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1、科学技术支出（类）基础研究（款）自然科学基金（项）。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27.92</w:t>
      </w:r>
      <w:r>
        <w:rPr>
          <w:rFonts w:hint="eastAsia" w:ascii="Times New Roman" w:hAnsi="Times New Roman" w:eastAsia="仿宋_GB2312"/>
          <w:sz w:val="32"/>
          <w:szCs w:val="32"/>
        </w:rPr>
        <w:t>万元，决算数大于年初预算数的主要原因是：年初没有预算，是上年结转的科研资金以及年中拨付的省级科研专项资金。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2、科学技术支出（类）技术研究与开发（款）其他技术研究与开发支出（项）。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15.71</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决算数大于年初预算数的主要原因是：年初没有预算，是上年结转的科研资金以及年中拨付的省级科研专项资金。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3、科学技术支出（类）其他科学技术支出（款）其他科学技术支出（项）。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年初预算为0万元，支出决算为2万元，决算数大于年初预算数的主要原因是：年初没有预算，是上年结转的科研资金。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4、社会保障和就业支出（类）人力资源和社会保障管理事务（款）其他人力资源和社会保障管理事务支出（项）。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482.99</w:t>
      </w:r>
      <w:r>
        <w:rPr>
          <w:rFonts w:hint="eastAsia" w:ascii="Times New Roman" w:hAnsi="Times New Roman" w:eastAsia="仿宋_GB2312"/>
          <w:sz w:val="32"/>
          <w:szCs w:val="32"/>
        </w:rPr>
        <w:t>万元，决算数大于年初预算数的主要原因是：年初没有预算，使用资金是2021年专户资金（重点学科项目）指标结余。</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5、社会保障和就业支出（类）行政事业单位养老支出（款）机关事业单位基本养老保险缴费支出（项）。</w:t>
      </w:r>
    </w:p>
    <w:p>
      <w:pPr>
        <w:pStyle w:val="10"/>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ascii="Times New Roman" w:hAnsi="Times New Roman" w:eastAsia="仿宋_GB2312"/>
          <w:sz w:val="32"/>
          <w:szCs w:val="32"/>
        </w:rPr>
        <w:t>239.62</w:t>
      </w:r>
      <w:r>
        <w:rPr>
          <w:rFonts w:hint="eastAsia" w:ascii="Times New Roman" w:hAnsi="Times New Roman" w:eastAsia="仿宋_GB2312"/>
          <w:sz w:val="32"/>
          <w:szCs w:val="32"/>
        </w:rPr>
        <w:t>万元，支出决算为</w:t>
      </w:r>
      <w:r>
        <w:rPr>
          <w:rFonts w:ascii="Times New Roman" w:hAnsi="Times New Roman" w:eastAsia="仿宋_GB2312"/>
          <w:sz w:val="32"/>
          <w:szCs w:val="32"/>
        </w:rPr>
        <w:t>239.62</w:t>
      </w:r>
      <w:r>
        <w:rPr>
          <w:rFonts w:hint="eastAsia" w:ascii="Times New Roman" w:hAnsi="Times New Roman" w:eastAsia="仿宋_GB2312"/>
          <w:sz w:val="32"/>
          <w:szCs w:val="32"/>
        </w:rPr>
        <w:t>万元，完成年初预算的100%。</w:t>
      </w:r>
      <w:r>
        <w:rPr>
          <w:rFonts w:hint="eastAsia" w:ascii="Times New Roman" w:hAnsi="Times New Roman" w:eastAsia="仿宋_GB2312"/>
          <w:sz w:val="32"/>
          <w:szCs w:val="32"/>
          <w:lang w:eastAsia="zh-CN"/>
        </w:rPr>
        <w:t>预决算相等的主要原因是财政拨付的在编人员基本养老保险费。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6、社会保障和就业支出（类）抚恤（款）其他优抚支出（项）。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5.62</w:t>
      </w:r>
      <w:r>
        <w:rPr>
          <w:rFonts w:hint="eastAsia" w:ascii="Times New Roman" w:hAnsi="Times New Roman" w:eastAsia="仿宋_GB2312"/>
          <w:sz w:val="32"/>
          <w:szCs w:val="32"/>
        </w:rPr>
        <w:t>万元，决算数大于年初预算数的主要原因是：年初没有预算，追加的一次性抚恤及遗属费。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7、卫生健康支出（类）公立医院（款）妇幼保健医院（项）。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189.73</w:t>
      </w:r>
      <w:r>
        <w:rPr>
          <w:rFonts w:hint="eastAsia" w:ascii="Times New Roman" w:hAnsi="Times New Roman" w:eastAsia="仿宋_GB2312"/>
          <w:sz w:val="32"/>
          <w:szCs w:val="32"/>
        </w:rPr>
        <w:t>万元，决算数大于年初预算数的主要原因是：年初没有预算，追加的人员经费补差。</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8、卫生健康支出（类）公立医院（款）其他公立医院支出（项）。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32.01</w:t>
      </w:r>
      <w:r>
        <w:rPr>
          <w:rFonts w:hint="eastAsia" w:ascii="Times New Roman" w:hAnsi="Times New Roman" w:eastAsia="仿宋_GB2312"/>
          <w:sz w:val="32"/>
          <w:szCs w:val="32"/>
        </w:rPr>
        <w:t>万元，决算数大于年初预算数的主要原因是：年初没有预算，是追加的公立医院改革专项资金。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9、卫生健康支出（类）公共卫生（款）妇幼保健机构（项）。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ascii="Times New Roman" w:hAnsi="Times New Roman" w:eastAsia="仿宋_GB2312"/>
          <w:sz w:val="32"/>
          <w:szCs w:val="32"/>
        </w:rPr>
        <w:t>1133.28</w:t>
      </w:r>
      <w:r>
        <w:rPr>
          <w:rFonts w:hint="eastAsia" w:ascii="Times New Roman" w:hAnsi="Times New Roman" w:eastAsia="仿宋_GB2312"/>
          <w:sz w:val="32"/>
          <w:szCs w:val="32"/>
        </w:rPr>
        <w:t>万元，支出决算为</w:t>
      </w:r>
      <w:r>
        <w:rPr>
          <w:rFonts w:ascii="Times New Roman" w:hAnsi="Times New Roman" w:eastAsia="仿宋_GB2312"/>
          <w:sz w:val="32"/>
          <w:szCs w:val="32"/>
        </w:rPr>
        <w:t>1164.8</w:t>
      </w:r>
      <w:r>
        <w:rPr>
          <w:rFonts w:hint="eastAsia" w:ascii="Times New Roman" w:hAnsi="Times New Roman" w:eastAsia="仿宋_GB2312"/>
          <w:sz w:val="32"/>
          <w:szCs w:val="32"/>
        </w:rPr>
        <w:t>万元，完成年初预算的103%，决算数大于年初预算数的主要原因是：其中31.52万元年初没有预算，是追加的非税收入和人员工资补发。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10、卫生健康支出（类）公共卫生（款）重大公共卫生服务（项）。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28.14</w:t>
      </w:r>
      <w:r>
        <w:rPr>
          <w:rFonts w:hint="eastAsia" w:ascii="Times New Roman" w:hAnsi="Times New Roman" w:eastAsia="仿宋_GB2312"/>
          <w:sz w:val="32"/>
          <w:szCs w:val="32"/>
        </w:rPr>
        <w:t>万元，决算数大于年初预算数的主要原因是：年初没有预算，是上年重大传染病防控经费结转以及年中拨付的中央专项补助资金。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11、卫生健康支出（类）公共卫生（款）其他公共卫生支出（项）。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25.51</w:t>
      </w:r>
      <w:r>
        <w:rPr>
          <w:rFonts w:hint="eastAsia" w:ascii="Times New Roman" w:hAnsi="Times New Roman" w:eastAsia="仿宋_GB2312"/>
          <w:sz w:val="32"/>
          <w:szCs w:val="32"/>
        </w:rPr>
        <w:t>万元，决算数大于年初预算数的主要原因是：年初没有预算，是上年省补助公共卫生资金结转，以及年中拨付的省补助爱心助孕、省级公共卫生专项资金。</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12、卫生健康支出（类）中医药（款）中医（民族医）药专项（项）。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年初预算为0万元，支出决算为0.06万元，决算数大于年初预算数的主要原因是：年初没有预算，是年中拨付的省补助中医药项目经费。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13、卫生健康支出（类）行政事业单位医疗（款）事业单位医疗（项）。</w:t>
      </w:r>
    </w:p>
    <w:p>
      <w:pPr>
        <w:pStyle w:val="10"/>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年初预算为93.95万元，支出决算为</w:t>
      </w:r>
      <w:r>
        <w:rPr>
          <w:rFonts w:ascii="Times New Roman" w:hAnsi="Times New Roman" w:eastAsia="仿宋_GB2312"/>
          <w:sz w:val="32"/>
          <w:szCs w:val="32"/>
        </w:rPr>
        <w:t>93.95</w:t>
      </w:r>
      <w:r>
        <w:rPr>
          <w:rFonts w:hint="eastAsia" w:ascii="Times New Roman" w:hAnsi="Times New Roman" w:eastAsia="仿宋_GB2312"/>
          <w:sz w:val="32"/>
          <w:szCs w:val="32"/>
        </w:rPr>
        <w:t>万元，完成年初预算的100%。</w:t>
      </w:r>
      <w:r>
        <w:rPr>
          <w:rFonts w:hint="eastAsia" w:ascii="Times New Roman" w:hAnsi="Times New Roman" w:eastAsia="仿宋_GB2312"/>
          <w:sz w:val="32"/>
          <w:szCs w:val="32"/>
          <w:lang w:eastAsia="zh-CN"/>
        </w:rPr>
        <w:t>预决算相等的主要原因是财政拨付的在编人员医疗保险。</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14、住房保障支出（类）住房改革支出（款）住房公积金（项）。</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ascii="Times New Roman" w:hAnsi="Times New Roman" w:eastAsia="仿宋_GB2312"/>
          <w:sz w:val="32"/>
          <w:szCs w:val="32"/>
        </w:rPr>
        <w:t>134.71</w:t>
      </w:r>
      <w:r>
        <w:rPr>
          <w:rFonts w:hint="eastAsia" w:ascii="Times New Roman" w:hAnsi="Times New Roman" w:eastAsia="仿宋_GB2312"/>
          <w:sz w:val="32"/>
          <w:szCs w:val="32"/>
        </w:rPr>
        <w:t>万元，支出决算为0万元，</w:t>
      </w:r>
      <w:r>
        <w:rPr>
          <w:rFonts w:hint="eastAsia" w:ascii="Times New Roman" w:hAnsi="Times New Roman" w:eastAsia="仿宋_GB2312"/>
          <w:sz w:val="32"/>
          <w:szCs w:val="32"/>
          <w:lang w:eastAsia="zh-CN"/>
        </w:rPr>
        <w:t>完成年初预算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决算数小于年初预算数的主要原因是住房公积金由财政代扣，直接转入公积金账户，所以不体现在本单位决算中，实际完成年初预算的100%。</w:t>
      </w:r>
    </w:p>
    <w:p>
      <w:pPr>
        <w:pStyle w:val="10"/>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2022年度财政拨款基本支出2308.05万元，其中：</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ascii="Times New Roman" w:hAnsi="Times New Roman" w:eastAsia="仿宋_GB2312"/>
          <w:sz w:val="32"/>
          <w:szCs w:val="32"/>
        </w:rPr>
        <w:t>1485.26</w:t>
      </w:r>
      <w:r>
        <w:rPr>
          <w:rFonts w:hint="eastAsia" w:ascii="Times New Roman" w:hAnsi="Times New Roman" w:eastAsia="仿宋_GB2312"/>
          <w:sz w:val="32"/>
          <w:szCs w:val="32"/>
        </w:rPr>
        <w:t>万元，占基本支出的64.35%,主要包括基本工资1002.12万元、津贴补贴4.47万元、奖金43.85万元、绩效79.23万元、机关事业单位基本养老保险缴费227.19万元、职工基本医疗保险缴费96.61万元、其他社会保障缴费15.37万元、离休费7.66万元、抚恤金5.62万元、其他对个人和家庭的补助3.12万元。</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公用经费</w:t>
      </w:r>
      <w:r>
        <w:rPr>
          <w:rFonts w:ascii="Times New Roman" w:hAnsi="Times New Roman" w:eastAsia="仿宋_GB2312"/>
          <w:sz w:val="32"/>
          <w:szCs w:val="32"/>
        </w:rPr>
        <w:t>822.79</w:t>
      </w:r>
      <w:r>
        <w:rPr>
          <w:rFonts w:hint="eastAsia" w:ascii="Times New Roman" w:hAnsi="Times New Roman" w:eastAsia="仿宋_GB2312"/>
          <w:sz w:val="32"/>
          <w:szCs w:val="32"/>
        </w:rPr>
        <w:t>万元，占基本支出的35.65%，主要包括印刷费0.43万元、水费0.03万元、电费10.37万元、差旅费20.38万元、维修（护）费20万元、会议费</w:t>
      </w:r>
      <w:r>
        <w:rPr>
          <w:rFonts w:ascii="Times New Roman" w:hAnsi="Times New Roman" w:eastAsia="仿宋_GB2312"/>
          <w:sz w:val="32"/>
          <w:szCs w:val="32"/>
        </w:rPr>
        <w:t>23.68</w:t>
      </w:r>
      <w:r>
        <w:rPr>
          <w:rFonts w:hint="eastAsia" w:ascii="Times New Roman" w:hAnsi="Times New Roman" w:eastAsia="仿宋_GB2312"/>
          <w:sz w:val="32"/>
          <w:szCs w:val="32"/>
        </w:rPr>
        <w:t>万元、培训费</w:t>
      </w:r>
      <w:r>
        <w:rPr>
          <w:rFonts w:ascii="Times New Roman" w:hAnsi="Times New Roman" w:eastAsia="仿宋_GB2312"/>
          <w:sz w:val="32"/>
          <w:szCs w:val="32"/>
        </w:rPr>
        <w:t>49.28</w:t>
      </w:r>
      <w:r>
        <w:rPr>
          <w:rFonts w:hint="eastAsia" w:ascii="Times New Roman" w:hAnsi="Times New Roman" w:eastAsia="仿宋_GB2312"/>
          <w:sz w:val="32"/>
          <w:szCs w:val="32"/>
        </w:rPr>
        <w:t>万元、专用材料费512.03万元、劳务费</w:t>
      </w:r>
      <w:r>
        <w:rPr>
          <w:rFonts w:ascii="Times New Roman" w:hAnsi="Times New Roman" w:eastAsia="仿宋_GB2312"/>
          <w:sz w:val="32"/>
          <w:szCs w:val="32"/>
        </w:rPr>
        <w:t>11.97</w:t>
      </w:r>
      <w:r>
        <w:rPr>
          <w:rFonts w:hint="eastAsia" w:ascii="Times New Roman" w:hAnsi="Times New Roman" w:eastAsia="仿宋_GB2312"/>
          <w:sz w:val="32"/>
          <w:szCs w:val="32"/>
        </w:rPr>
        <w:t>万元、其他商品和服务支出174.62万元。</w:t>
      </w:r>
    </w:p>
    <w:p>
      <w:pPr>
        <w:pStyle w:val="10"/>
        <w:spacing w:line="600" w:lineRule="exact"/>
        <w:ind w:firstLine="640" w:firstLineChars="200"/>
        <w:rPr>
          <w:rFonts w:hAnsi="黑体"/>
          <w:bCs/>
          <w:sz w:val="32"/>
          <w:szCs w:val="32"/>
        </w:rPr>
      </w:pPr>
      <w:r>
        <w:rPr>
          <w:rFonts w:hint="eastAsia" w:hAnsi="黑体"/>
          <w:bCs/>
          <w:sz w:val="32"/>
          <w:szCs w:val="32"/>
        </w:rPr>
        <w:t>七、政府性基金预算收入支出决算情况</w:t>
      </w:r>
    </w:p>
    <w:p>
      <w:pPr>
        <w:pStyle w:val="10"/>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2022年度政府性基金预算财政拨款收入0万元；年初结转和结余0万元；支出0万元，其中基本支出0万元，项目支出0万元；年末结转和结余0万元。</w:t>
      </w:r>
    </w:p>
    <w:p>
      <w:pPr>
        <w:pStyle w:val="10"/>
        <w:spacing w:line="600" w:lineRule="exact"/>
        <w:ind w:firstLine="640" w:firstLineChars="200"/>
        <w:rPr>
          <w:rFonts w:ascii="Times New Roman" w:hAnsi="Times New Roman" w:eastAsia="仿宋_GB2312"/>
          <w:b/>
          <w:sz w:val="32"/>
          <w:szCs w:val="32"/>
        </w:rPr>
      </w:pPr>
      <w:r>
        <w:rPr>
          <w:rFonts w:hint="eastAsia" w:hAnsi="黑体"/>
          <w:bCs/>
          <w:sz w:val="32"/>
          <w:szCs w:val="32"/>
        </w:rPr>
        <w:t>八、</w:t>
      </w:r>
      <w:r>
        <w:rPr>
          <w:rFonts w:hint="eastAsia" w:ascii="Times New Roman" w:hAnsi="Times New Roman" w:eastAsia="仿宋_GB2312"/>
          <w:b/>
          <w:sz w:val="32"/>
          <w:szCs w:val="32"/>
        </w:rPr>
        <w:t>国有资本经营预算财政拨款支出决算情况</w:t>
      </w:r>
    </w:p>
    <w:p>
      <w:pPr>
        <w:pStyle w:val="10"/>
        <w:ind w:firstLine="640" w:firstLineChars="200"/>
        <w:rPr>
          <w:rFonts w:ascii="宋体" w:hAnsi="宋体" w:eastAsia="宋体"/>
          <w:sz w:val="32"/>
          <w:szCs w:val="32"/>
        </w:rPr>
      </w:pPr>
      <w:r>
        <w:rPr>
          <w:rFonts w:hint="eastAsia" w:ascii="宋体" w:hAnsi="宋体" w:eastAsia="宋体"/>
          <w:sz w:val="32"/>
          <w:szCs w:val="32"/>
        </w:rPr>
        <w:t>2022年度国有资本经营预算财政拨款收入0万元；年初结转和结余0万；支出0万元，其中：基本支出0万元，项目支出0万元；年末结转和结余0万元。</w:t>
      </w:r>
    </w:p>
    <w:p>
      <w:pPr>
        <w:pStyle w:val="10"/>
        <w:spacing w:line="600" w:lineRule="exact"/>
        <w:ind w:firstLine="640" w:firstLineChars="200"/>
        <w:rPr>
          <w:rFonts w:hAnsi="黑体"/>
          <w:b/>
          <w:bCs/>
          <w:sz w:val="32"/>
          <w:szCs w:val="32"/>
        </w:rPr>
      </w:pPr>
      <w:r>
        <w:rPr>
          <w:rFonts w:hint="eastAsia" w:ascii="Times New Roman" w:hAnsi="Times New Roman" w:eastAsia="仿宋_GB2312"/>
          <w:b/>
          <w:sz w:val="32"/>
          <w:szCs w:val="32"/>
        </w:rPr>
        <w:t>九、</w:t>
      </w:r>
      <w:r>
        <w:rPr>
          <w:rFonts w:hint="eastAsia" w:hAnsi="黑体"/>
          <w:b/>
          <w:bCs/>
          <w:sz w:val="32"/>
          <w:szCs w:val="32"/>
        </w:rPr>
        <w:t>财政拨款三公经费支出决算情况说明</w:t>
      </w:r>
    </w:p>
    <w:p>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“三公”经费财政拨款支出预算为0万元，支出决算为0万元，</w:t>
      </w:r>
      <w:r>
        <w:rPr>
          <w:rFonts w:hint="eastAsia" w:ascii="Times New Roman" w:hAnsi="Times New Roman" w:eastAsia="仿宋_GB2312"/>
          <w:bCs/>
          <w:sz w:val="32"/>
          <w:szCs w:val="32"/>
        </w:rPr>
        <w:t>决算数等于预算数</w:t>
      </w:r>
      <w:r>
        <w:rPr>
          <w:rFonts w:hint="eastAsia" w:ascii="Times New Roman" w:hAnsi="Times New Roman" w:eastAsia="仿宋_GB2312"/>
          <w:sz w:val="32"/>
          <w:szCs w:val="32"/>
        </w:rPr>
        <w:t>，其中：</w:t>
      </w:r>
    </w:p>
    <w:p>
      <w:pPr>
        <w:pStyle w:val="10"/>
        <w:spacing w:line="600" w:lineRule="exact"/>
        <w:ind w:firstLine="800" w:firstLineChars="250"/>
        <w:rPr>
          <w:rFonts w:ascii="Times New Roman" w:hAnsi="Times New Roman" w:eastAsia="仿宋_GB2312"/>
          <w:bCs/>
          <w:sz w:val="32"/>
          <w:szCs w:val="32"/>
        </w:rPr>
      </w:pPr>
      <w:r>
        <w:rPr>
          <w:rFonts w:hint="eastAsia" w:ascii="Times New Roman" w:hAnsi="Times New Roman" w:eastAsia="仿宋_GB2312"/>
          <w:sz w:val="32"/>
          <w:szCs w:val="32"/>
        </w:rPr>
        <w:t>因公出国（境）费支出预算为0万元，支出决算为0万元，</w:t>
      </w:r>
      <w:r>
        <w:rPr>
          <w:rFonts w:hint="eastAsia" w:ascii="Times New Roman" w:hAnsi="Times New Roman" w:eastAsia="仿宋_GB2312"/>
          <w:bCs/>
          <w:sz w:val="32"/>
          <w:szCs w:val="32"/>
        </w:rPr>
        <w:t>决算数等于预算数，主要原因是我单位严格按预算执行决算；与上年一致，无增减变动，主要原因是未安排因公出国（境）活动。</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公务接待费支出预算为0万元，支出决算为0万元，决算数等于预算数，主要原因是严格执行中央八项规定；与上年相比减少1.19万元，减少100%,减少主要原因是2022年没有使用财政资金用于公务接待。</w:t>
      </w:r>
    </w:p>
    <w:p>
      <w:pPr>
        <w:pStyle w:val="10"/>
        <w:spacing w:line="60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公务用车购置费支出预算为0万元，支出决算为0万元，</w:t>
      </w:r>
      <w:r>
        <w:rPr>
          <w:rFonts w:hint="eastAsia" w:ascii="Times New Roman" w:hAnsi="Times New Roman" w:eastAsia="仿宋_GB2312"/>
          <w:bCs/>
          <w:sz w:val="32"/>
          <w:szCs w:val="32"/>
        </w:rPr>
        <w:t xml:space="preserve">决算数等于预算数，主要原因是我单位严格按预算执行决算；与上年一致，无增减变动，主要原因是两年均未购置公务用车。  </w:t>
      </w:r>
    </w:p>
    <w:p>
      <w:pPr>
        <w:pStyle w:val="10"/>
        <w:ind w:firstLine="643"/>
        <w:rPr>
          <w:rFonts w:ascii="Times New Roman" w:hAnsi="Times New Roman" w:eastAsia="仿宋_GB2312"/>
          <w:bCs/>
          <w:sz w:val="32"/>
          <w:szCs w:val="32"/>
        </w:rPr>
      </w:pPr>
      <w:r>
        <w:rPr>
          <w:rFonts w:hint="eastAsia" w:ascii="Times New Roman" w:hAnsi="Times New Roman" w:eastAsia="仿宋_GB2312"/>
          <w:bCs/>
          <w:sz w:val="32"/>
          <w:szCs w:val="32"/>
        </w:rPr>
        <w:t xml:space="preserve">公务用车运行维护费支出预算为0万元，支出决算为0万元，决算数等于预算数，主要原因是我单位严格按预算执行决算；与上年一致，无增减变动，主要原因是两年均无公务用车运行维护费预算。 </w:t>
      </w:r>
    </w:p>
    <w:p>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2022年度“三公”经费财政拨款支出决算中，公务接待费支出决算0万元</w:t>
      </w:r>
      <w:r>
        <w:rPr>
          <w:rFonts w:hint="eastAsia" w:ascii="Times New Roman" w:hAnsi="Times New Roman" w:eastAsia="仿宋_GB2312"/>
          <w:sz w:val="32"/>
          <w:szCs w:val="32"/>
          <w:lang w:eastAsia="zh"/>
        </w:rPr>
        <w:t>(</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预</w:t>
      </w:r>
      <w:r>
        <w:rPr>
          <w:rFonts w:hint="eastAsia" w:ascii="仿宋_GB2312" w:hAnsi="仿宋_GB2312" w:eastAsia="仿宋_GB2312" w:cs="仿宋_GB2312"/>
          <w:sz w:val="32"/>
          <w:szCs w:val="32"/>
        </w:rPr>
        <w:t>算数为0，无法计算</w:t>
      </w:r>
      <w:r>
        <w:rPr>
          <w:rFonts w:hint="eastAsia" w:ascii="仿宋_GB2312" w:hAnsi="仿宋_GB2312" w:eastAsia="仿宋_GB2312" w:cs="仿宋_GB2312"/>
          <w:sz w:val="32"/>
          <w:szCs w:val="32"/>
          <w:lang w:eastAsia="zh"/>
        </w:rPr>
        <w:t>占比)</w:t>
      </w:r>
      <w:r>
        <w:rPr>
          <w:rFonts w:hint="eastAsia" w:ascii="Times New Roman" w:hAnsi="Times New Roman" w:eastAsia="仿宋_GB2312"/>
          <w:sz w:val="32"/>
          <w:szCs w:val="32"/>
        </w:rPr>
        <w:t>，因公出国（境）费支出决算0万元</w:t>
      </w:r>
      <w:r>
        <w:rPr>
          <w:rFonts w:hint="eastAsia" w:ascii="Times New Roman" w:hAnsi="Times New Roman" w:eastAsia="仿宋_GB2312"/>
          <w:sz w:val="32"/>
          <w:szCs w:val="32"/>
          <w:lang w:eastAsia="zh"/>
        </w:rPr>
        <w:t>(</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预</w:t>
      </w:r>
      <w:r>
        <w:rPr>
          <w:rFonts w:hint="eastAsia" w:ascii="仿宋_GB2312" w:hAnsi="仿宋_GB2312" w:eastAsia="仿宋_GB2312" w:cs="仿宋_GB2312"/>
          <w:sz w:val="32"/>
          <w:szCs w:val="32"/>
        </w:rPr>
        <w:t>算数为0，无法计算</w:t>
      </w:r>
      <w:r>
        <w:rPr>
          <w:rFonts w:hint="eastAsia" w:ascii="仿宋_GB2312" w:hAnsi="仿宋_GB2312" w:eastAsia="仿宋_GB2312" w:cs="仿宋_GB2312"/>
          <w:sz w:val="32"/>
          <w:szCs w:val="32"/>
          <w:lang w:eastAsia="zh"/>
        </w:rPr>
        <w:t>占比)</w:t>
      </w:r>
      <w:r>
        <w:rPr>
          <w:rFonts w:hint="eastAsia" w:ascii="Times New Roman" w:hAnsi="Times New Roman" w:eastAsia="仿宋_GB2312"/>
          <w:sz w:val="32"/>
          <w:szCs w:val="32"/>
        </w:rPr>
        <w:t>，公务用车购置费及运行维护费支出决算0万元</w:t>
      </w:r>
      <w:r>
        <w:rPr>
          <w:rFonts w:hint="eastAsia" w:ascii="Times New Roman" w:hAnsi="Times New Roman" w:eastAsia="仿宋_GB2312"/>
          <w:sz w:val="32"/>
          <w:szCs w:val="32"/>
          <w:lang w:eastAsia="zh"/>
        </w:rPr>
        <w:t>(</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预</w:t>
      </w:r>
      <w:r>
        <w:rPr>
          <w:rFonts w:hint="eastAsia" w:ascii="仿宋_GB2312" w:hAnsi="仿宋_GB2312" w:eastAsia="仿宋_GB2312" w:cs="仿宋_GB2312"/>
          <w:sz w:val="32"/>
          <w:szCs w:val="32"/>
        </w:rPr>
        <w:t>算数为0，无法计算</w:t>
      </w:r>
      <w:r>
        <w:rPr>
          <w:rFonts w:hint="eastAsia" w:ascii="仿宋_GB2312" w:hAnsi="仿宋_GB2312" w:eastAsia="仿宋_GB2312" w:cs="仿宋_GB2312"/>
          <w:sz w:val="32"/>
          <w:szCs w:val="32"/>
          <w:lang w:eastAsia="zh"/>
        </w:rPr>
        <w:t>占比)</w:t>
      </w:r>
      <w:r>
        <w:rPr>
          <w:rFonts w:hint="eastAsia" w:ascii="Times New Roman" w:hAnsi="Times New Roman" w:eastAsia="仿宋_GB2312"/>
          <w:sz w:val="32"/>
          <w:szCs w:val="32"/>
        </w:rPr>
        <w:t>。其中：</w:t>
      </w:r>
    </w:p>
    <w:p>
      <w:pPr>
        <w:pStyle w:val="10"/>
        <w:spacing w:line="60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1、因公出国（境）费支出决算为0万元，全年安排因公出国（境）团组0个，累计0人次，</w:t>
      </w:r>
      <w:r>
        <w:rPr>
          <w:rFonts w:hint="eastAsia" w:ascii="Times New Roman" w:hAnsi="Times New Roman" w:eastAsia="仿宋_GB2312"/>
          <w:bCs/>
          <w:sz w:val="32"/>
          <w:szCs w:val="32"/>
        </w:rPr>
        <w:t>我单位2022年度无因公出国（境）费支出。</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2、公务接待费支出决算为0万元，全年共接待来访团组0个、来宾0人次。</w:t>
      </w:r>
      <w:r>
        <w:rPr>
          <w:rFonts w:hint="eastAsia" w:ascii="Times New Roman" w:hAnsi="Times New Roman" w:eastAsia="仿宋_GB2312"/>
          <w:bCs/>
          <w:sz w:val="32"/>
          <w:szCs w:val="32"/>
        </w:rPr>
        <w:t>我单位2022年度无公务接待费支出。</w:t>
      </w:r>
    </w:p>
    <w:p>
      <w:pPr>
        <w:spacing w:line="600" w:lineRule="exact"/>
        <w:ind w:firstLine="640" w:firstLineChars="20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w:t>
      </w:r>
      <w:r>
        <w:rPr>
          <w:rFonts w:hint="eastAsia" w:ascii="Times New Roman" w:hAnsi="Times New Roman" w:eastAsia="仿宋_GB2312"/>
          <w:bCs/>
          <w:sz w:val="32"/>
          <w:szCs w:val="32"/>
        </w:rPr>
        <w:t>当年没有购置公务用车</w:t>
      </w:r>
      <w:r>
        <w:rPr>
          <w:rFonts w:hint="eastAsia" w:ascii="Times New Roman" w:hAnsi="Times New Roman" w:eastAsia="仿宋_GB2312"/>
          <w:color w:val="000000"/>
          <w:sz w:val="32"/>
          <w:szCs w:val="32"/>
        </w:rPr>
        <w:t>。</w:t>
      </w:r>
      <w:r>
        <w:rPr>
          <w:rFonts w:hint="eastAsia" w:ascii="Times New Roman" w:hAnsi="Times New Roman" w:eastAsia="仿宋_GB2312"/>
          <w:sz w:val="32"/>
          <w:szCs w:val="32"/>
        </w:rPr>
        <w:t>公务用车运行维护费0万</w:t>
      </w:r>
      <w:bookmarkStart w:id="0" w:name="_GoBack"/>
      <w:bookmarkEnd w:id="0"/>
      <w:r>
        <w:rPr>
          <w:rFonts w:hint="eastAsia" w:ascii="Times New Roman" w:hAnsi="Times New Roman" w:eastAsia="仿宋_GB2312"/>
          <w:sz w:val="32"/>
          <w:szCs w:val="32"/>
        </w:rPr>
        <w:t>元，截至2022年12月31日，我单位开支财政拨款的公务用车保有量为0辆。</w:t>
      </w:r>
    </w:p>
    <w:p>
      <w:pPr>
        <w:pStyle w:val="10"/>
        <w:spacing w:line="600" w:lineRule="exact"/>
        <w:rPr>
          <w:rFonts w:hAnsi="黑体"/>
          <w:b/>
          <w:sz w:val="32"/>
          <w:szCs w:val="32"/>
        </w:rPr>
      </w:pPr>
      <w:r>
        <w:rPr>
          <w:rFonts w:hint="eastAsia" w:hAnsi="黑体"/>
          <w:b/>
          <w:sz w:val="32"/>
          <w:szCs w:val="32"/>
        </w:rPr>
        <w:t>十、关于机关运行经费支出说明</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本部门2022年度机关运行经费支出</w:t>
      </w:r>
      <w:r>
        <w:rPr>
          <w:rFonts w:hint="eastAsia" w:ascii="Times New Roman" w:hAnsi="Times New Roman" w:eastAsia="仿宋_GB2312"/>
          <w:sz w:val="32"/>
          <w:szCs w:val="32"/>
          <w:lang w:val="en-US" w:eastAsia="zh-CN"/>
        </w:rPr>
        <w:t>822.79</w:t>
      </w:r>
      <w:r>
        <w:rPr>
          <w:rFonts w:hint="eastAsia" w:ascii="Times New Roman" w:hAnsi="Times New Roman" w:eastAsia="仿宋_GB2312"/>
          <w:sz w:val="32"/>
          <w:szCs w:val="32"/>
        </w:rPr>
        <w:t>万元，比上年决算数增加</w:t>
      </w:r>
      <w:r>
        <w:rPr>
          <w:rFonts w:hint="eastAsia" w:ascii="Times New Roman" w:hAnsi="Times New Roman" w:eastAsia="仿宋_GB2312"/>
          <w:sz w:val="32"/>
          <w:szCs w:val="32"/>
          <w:lang w:val="en-US" w:eastAsia="zh-CN"/>
        </w:rPr>
        <w:t>402.63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95.83</w:t>
      </w:r>
      <w:r>
        <w:rPr>
          <w:rFonts w:hint="eastAsia" w:ascii="Times New Roman" w:hAnsi="Times New Roman" w:eastAsia="仿宋_GB2312"/>
          <w:sz w:val="32"/>
          <w:szCs w:val="32"/>
        </w:rPr>
        <w:t>%。主要原因是：重点学科资金用于专用材料支出增加。</w:t>
      </w:r>
    </w:p>
    <w:p>
      <w:pPr>
        <w:pStyle w:val="1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1、办公费今年决算数0万，上年决算数8.86万，减少8.86万元，下降100%，减少的主要原因是没有使用财政资金用于购置办公用品；</w:t>
      </w:r>
    </w:p>
    <w:p>
      <w:pPr>
        <w:pStyle w:val="1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2、印刷费今年决算数0.43万，上年决算数7.35万，减少6.92万元，下降94.15%，减少的主要原因是厉行节约，减少印刷品；</w:t>
      </w:r>
    </w:p>
    <w:p>
      <w:pPr>
        <w:pStyle w:val="1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3、水电费今年决算数10.4万，上年决算数28.26万，减少17.86万元，下降63.20%，减少的主要原因是厉行节约，节水节电；</w:t>
      </w:r>
    </w:p>
    <w:p>
      <w:pPr>
        <w:pStyle w:val="10"/>
        <w:ind w:firstLine="640" w:firstLineChars="200"/>
        <w:jc w:val="both"/>
        <w:rPr>
          <w:rFonts w:ascii="Times New Roman" w:hAnsi="Times New Roman" w:eastAsia="仿宋_GB2312"/>
          <w:bCs/>
          <w:sz w:val="32"/>
          <w:szCs w:val="32"/>
        </w:rPr>
      </w:pPr>
      <w:r>
        <w:rPr>
          <w:rFonts w:hint="eastAsia" w:ascii="Times New Roman" w:hAnsi="Times New Roman" w:eastAsia="仿宋_GB2312"/>
          <w:sz w:val="32"/>
          <w:szCs w:val="32"/>
        </w:rPr>
        <w:t>4、差旅费今年决算数20.38万，上年决算数12.5万，</w:t>
      </w:r>
      <w:r>
        <w:rPr>
          <w:rFonts w:hint="eastAsia" w:ascii="Times New Roman" w:hAnsi="Times New Roman" w:eastAsia="仿宋_GB2312"/>
          <w:bCs/>
          <w:sz w:val="32"/>
          <w:szCs w:val="32"/>
        </w:rPr>
        <w:t xml:space="preserve">增加7.88万，上涨63.04%，主要原因是有公立医院改革以及重点学科专项经费支持，外出进修、培训次数增加。 </w:t>
      </w:r>
    </w:p>
    <w:p>
      <w:pPr>
        <w:pStyle w:val="10"/>
        <w:ind w:firstLine="640" w:firstLineChars="200"/>
        <w:jc w:val="both"/>
        <w:rPr>
          <w:rFonts w:hint="eastAsia" w:ascii="Times New Roman" w:hAnsi="Times New Roman" w:eastAsia="仿宋_GB2312"/>
          <w:bCs/>
          <w:sz w:val="32"/>
          <w:szCs w:val="32"/>
        </w:rPr>
      </w:pPr>
      <w:r>
        <w:rPr>
          <w:rFonts w:hint="eastAsia" w:ascii="Times New Roman" w:hAnsi="Times New Roman" w:eastAsia="仿宋_GB2312"/>
          <w:sz w:val="32"/>
          <w:szCs w:val="32"/>
        </w:rPr>
        <w:t>5、会议费今年决算数</w:t>
      </w:r>
      <w:r>
        <w:rPr>
          <w:rFonts w:ascii="Times New Roman" w:hAnsi="Times New Roman" w:eastAsia="仿宋_GB2312"/>
          <w:sz w:val="32"/>
          <w:szCs w:val="32"/>
        </w:rPr>
        <w:t>23.68</w:t>
      </w:r>
      <w:r>
        <w:rPr>
          <w:rFonts w:hint="eastAsia" w:ascii="Times New Roman" w:hAnsi="Times New Roman" w:eastAsia="仿宋_GB2312"/>
          <w:sz w:val="32"/>
          <w:szCs w:val="32"/>
        </w:rPr>
        <w:t>万，上年决算数</w:t>
      </w:r>
      <w:r>
        <w:rPr>
          <w:rFonts w:ascii="Times New Roman" w:hAnsi="Times New Roman" w:eastAsia="仿宋_GB2312"/>
          <w:sz w:val="32"/>
          <w:szCs w:val="32"/>
        </w:rPr>
        <w:t>32.94</w:t>
      </w:r>
      <w:r>
        <w:rPr>
          <w:rFonts w:hint="eastAsia" w:ascii="Times New Roman" w:hAnsi="Times New Roman" w:eastAsia="仿宋_GB2312"/>
          <w:sz w:val="32"/>
          <w:szCs w:val="32"/>
        </w:rPr>
        <w:t>万，</w:t>
      </w:r>
      <w:r>
        <w:rPr>
          <w:rFonts w:hint="eastAsia" w:ascii="Times New Roman" w:hAnsi="Times New Roman" w:eastAsia="仿宋_GB2312"/>
          <w:bCs/>
          <w:sz w:val="32"/>
          <w:szCs w:val="32"/>
        </w:rPr>
        <w:t xml:space="preserve">减少9.26万，下降28.11%，主要原因是疫情原因，今年会议次数减少。 </w:t>
      </w:r>
    </w:p>
    <w:p>
      <w:pPr>
        <w:pStyle w:val="10"/>
        <w:ind w:firstLine="640" w:firstLineChars="200"/>
        <w:jc w:val="both"/>
        <w:rPr>
          <w:rFonts w:hint="eastAsia"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6、培训费今年决算数49.28万，上年决算数47.54万，增加1.74万，上涨3.66%，主要原因是学科建设加强，开展培训较多。</w:t>
      </w:r>
    </w:p>
    <w:p>
      <w:pPr>
        <w:pStyle w:val="10"/>
        <w:ind w:firstLine="640" w:firstLineChars="200"/>
        <w:jc w:val="both"/>
        <w:rPr>
          <w:rFonts w:hint="eastAsia"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7、公务接待费今年决算数0，上年决算数1.19万，减少1.19万，下降100%，主要原因是减少公务接待开支。</w:t>
      </w:r>
    </w:p>
    <w:p>
      <w:pPr>
        <w:pStyle w:val="10"/>
        <w:ind w:firstLine="640" w:firstLineChars="200"/>
        <w:jc w:val="both"/>
        <w:rPr>
          <w:rFonts w:hint="eastAsia"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8、劳务费今年决算数11.97万，上年决算数1.5万，增加10.47万，上涨698%，主要原因是今年科研项目支出劳务费较多。</w:t>
      </w:r>
    </w:p>
    <w:p>
      <w:pPr>
        <w:pStyle w:val="10"/>
        <w:ind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9、其他交通费用今年决算数0万，上年决算数2.98万，减少2.98万，主要原因是今年租车费减少。</w:t>
      </w:r>
    </w:p>
    <w:p>
      <w:pPr>
        <w:pStyle w:val="10"/>
        <w:ind w:firstLine="640" w:firstLineChars="200"/>
        <w:jc w:val="both"/>
        <w:rPr>
          <w:rFonts w:ascii="Times New Roman" w:hAnsi="Times New Roman" w:eastAsia="仿宋_GB2312"/>
          <w:bCs/>
          <w:sz w:val="32"/>
          <w:szCs w:val="32"/>
        </w:rPr>
      </w:pP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、日常维修费今年决算数20万，上年决算数37.15万，</w:t>
      </w:r>
      <w:r>
        <w:rPr>
          <w:rFonts w:hint="eastAsia" w:ascii="Times New Roman" w:hAnsi="Times New Roman" w:eastAsia="仿宋_GB2312"/>
          <w:bCs/>
          <w:sz w:val="32"/>
          <w:szCs w:val="32"/>
        </w:rPr>
        <w:t xml:space="preserve">减少17.15万，下降46.16%，主要原因是今年维修次数减少。 </w:t>
      </w:r>
    </w:p>
    <w:p>
      <w:pPr>
        <w:pStyle w:val="10"/>
        <w:ind w:firstLine="640" w:firstLineChars="200"/>
        <w:jc w:val="both"/>
        <w:rPr>
          <w:rFonts w:ascii="Times New Roman" w:hAnsi="Times New Roman" w:eastAsia="仿宋_GB2312"/>
          <w:bCs/>
          <w:sz w:val="32"/>
          <w:szCs w:val="32"/>
        </w:rPr>
      </w:pP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、专用材料费今年决算数</w:t>
      </w:r>
      <w:r>
        <w:rPr>
          <w:rFonts w:ascii="Times New Roman" w:hAnsi="Times New Roman" w:eastAsia="仿宋_GB2312"/>
          <w:sz w:val="32"/>
          <w:szCs w:val="32"/>
        </w:rPr>
        <w:t>512.03</w:t>
      </w:r>
      <w:r>
        <w:rPr>
          <w:rFonts w:hint="eastAsia" w:ascii="Times New Roman" w:hAnsi="Times New Roman" w:eastAsia="仿宋_GB2312"/>
          <w:sz w:val="32"/>
          <w:szCs w:val="32"/>
        </w:rPr>
        <w:t>万，上年决算数</w:t>
      </w:r>
      <w:r>
        <w:rPr>
          <w:rFonts w:ascii="Times New Roman" w:hAnsi="Times New Roman" w:eastAsia="仿宋_GB2312"/>
          <w:sz w:val="32"/>
          <w:szCs w:val="32"/>
        </w:rPr>
        <w:t>159.17</w:t>
      </w:r>
      <w:r>
        <w:rPr>
          <w:rFonts w:hint="eastAsia" w:ascii="Times New Roman" w:hAnsi="Times New Roman" w:eastAsia="仿宋_GB2312"/>
          <w:sz w:val="32"/>
          <w:szCs w:val="32"/>
        </w:rPr>
        <w:t>万，</w:t>
      </w:r>
      <w:r>
        <w:rPr>
          <w:rFonts w:hint="eastAsia" w:ascii="Times New Roman" w:hAnsi="Times New Roman" w:eastAsia="仿宋_GB2312"/>
          <w:bCs/>
          <w:sz w:val="32"/>
          <w:szCs w:val="32"/>
        </w:rPr>
        <w:t>增加352.86万，上涨221.69%，主要原因是今年重点学科资金用于支付专用材料费较多。</w:t>
      </w:r>
    </w:p>
    <w:p>
      <w:pPr>
        <w:pStyle w:val="10"/>
        <w:ind w:firstLine="640" w:firstLineChars="200"/>
        <w:jc w:val="both"/>
        <w:rPr>
          <w:rFonts w:hint="eastAsia" w:ascii="Times New Roman" w:hAnsi="Times New Roman" w:eastAsia="仿宋_GB2312"/>
          <w:bCs/>
          <w:sz w:val="32"/>
          <w:szCs w:val="32"/>
        </w:rPr>
      </w:pP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、物业管理费今年决算数0万，上年决算数4.93万，</w:t>
      </w:r>
      <w:r>
        <w:rPr>
          <w:rFonts w:hint="eastAsia" w:ascii="Times New Roman" w:hAnsi="Times New Roman" w:eastAsia="仿宋_GB2312"/>
          <w:bCs/>
          <w:sz w:val="32"/>
          <w:szCs w:val="32"/>
        </w:rPr>
        <w:t>减少4.93万，下降100%，主要原因是今年没有使用财政资金支付物业管理费。</w:t>
      </w:r>
    </w:p>
    <w:p>
      <w:pPr>
        <w:pStyle w:val="10"/>
        <w:ind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13、其他商品和服务支出今年决算数174.62万，上年决算数75.8万，增加98.82万，上涨130.34%，主要原因是重点学科建设专项资金增加。</w:t>
      </w:r>
    </w:p>
    <w:p>
      <w:pPr>
        <w:pStyle w:val="10"/>
        <w:ind w:firstLine="640" w:firstLineChars="200"/>
        <w:jc w:val="both"/>
        <w:rPr>
          <w:rFonts w:ascii="Times New Roman" w:hAnsi="Times New Roman" w:eastAsia="仿宋_GB2312"/>
          <w:sz w:val="32"/>
          <w:szCs w:val="32"/>
        </w:rPr>
      </w:pPr>
    </w:p>
    <w:p>
      <w:pPr>
        <w:pStyle w:val="10"/>
        <w:spacing w:line="600" w:lineRule="exact"/>
        <w:rPr>
          <w:rFonts w:hAnsi="黑体"/>
          <w:b/>
          <w:bCs/>
          <w:sz w:val="32"/>
          <w:szCs w:val="32"/>
        </w:rPr>
      </w:pPr>
      <w:r>
        <w:rPr>
          <w:rFonts w:hint="eastAsia" w:hAnsi="黑体"/>
          <w:b/>
          <w:bCs/>
          <w:sz w:val="32"/>
          <w:szCs w:val="32"/>
        </w:rPr>
        <w:t>十一、一般性支出情况说明</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2022年度，会议费年初预算0万元，支出决算为23.68万元</w:t>
      </w:r>
      <w:r>
        <w:rPr>
          <w:rFonts w:ascii="Times New Roman" w:hAnsi="Times New Roman" w:eastAsia="仿宋_GB2312"/>
          <w:sz w:val="32"/>
          <w:szCs w:val="32"/>
        </w:rPr>
        <w:t>(</w:t>
      </w:r>
      <w:r>
        <w:rPr>
          <w:rFonts w:hint="eastAsia" w:ascii="Times New Roman" w:hAnsi="Times New Roman" w:eastAsia="仿宋_GB2312"/>
          <w:sz w:val="32"/>
          <w:szCs w:val="32"/>
        </w:rPr>
        <w:t>由于预算数为0，无法计算百分比</w:t>
      </w:r>
      <w:r>
        <w:rPr>
          <w:rFonts w:ascii="Times New Roman" w:hAnsi="Times New Roman" w:eastAsia="仿宋_GB2312"/>
          <w:sz w:val="32"/>
          <w:szCs w:val="32"/>
        </w:rPr>
        <w:t>)</w:t>
      </w:r>
      <w:r>
        <w:rPr>
          <w:rFonts w:hint="eastAsia" w:ascii="Times New Roman" w:hAnsi="Times New Roman" w:eastAsia="仿宋_GB2312"/>
          <w:sz w:val="32"/>
          <w:szCs w:val="32"/>
        </w:rPr>
        <w:t>。用于召开2022年全市妇幼保健院院长工作例会，人数60人，内容为妇幼健康工作探讨，以及岳阳市艾梅乙三病消除认证项目；用于召开岳阳市2022年上半年妇女保健工作例会暨学术交流讨论会，人数67人，内容为各县市区妇女保健工作汇报、两癌项目实施方案解读等；用于召开基层妇幼保健机构建设发展工作委员会第一次会议暨高峰论坛，人数211人，内容为选举产生发展工作委员会成员、讨论通过《基层妇幼保健机构建设发展工作委员会管理办法》以及邀请国内知名专家学者和发展好的市县妇幼保健机构负责人作专题学术报告。</w:t>
      </w:r>
    </w:p>
    <w:p>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培训费年初预算0万元，支出决算为</w:t>
      </w:r>
      <w:r>
        <w:rPr>
          <w:rFonts w:ascii="Times New Roman" w:hAnsi="Times New Roman" w:eastAsia="仿宋_GB2312"/>
          <w:sz w:val="32"/>
          <w:szCs w:val="32"/>
        </w:rPr>
        <w:t>49.28</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由于预算数为0，无法计算百分比</w:t>
      </w:r>
      <w:r>
        <w:rPr>
          <w:rFonts w:ascii="Times New Roman" w:hAnsi="Times New Roman" w:eastAsia="仿宋_GB2312"/>
          <w:sz w:val="32"/>
          <w:szCs w:val="32"/>
        </w:rPr>
        <w:t>)</w:t>
      </w:r>
      <w:r>
        <w:rPr>
          <w:rFonts w:hint="eastAsia" w:ascii="Times New Roman" w:hAnsi="Times New Roman" w:eastAsia="仿宋_GB2312"/>
          <w:sz w:val="32"/>
          <w:szCs w:val="32"/>
        </w:rPr>
        <w:t>。用于开展妇幼健康重点工作重点案例评审会暨妇幼信息管理培训班，人数256人，内容为梅毒、乙肝感染阳性孕产妇及所生儿童重点病例评审以及危重孕产妇抢救成功病例评审、孕产妇健康管理培训等；用于开展2022年上半年全市新生儿死亡评审培训，人数40人，内容为分析新生儿死亡病例，找出死亡相关影响因素及环节中的薄弱点，并有针对性地提出了干预改进措施；用于开展2022年妇幼健康工作系列培训班，人数101人，内容为农村和城镇低保适龄妇女“两癌”免费检查项目，预防艾滋病、梅毒和乙肝母婴传播项目培训，孕产妇健康管理、高危孕产妇管理培训等；用于开展实习生培训，人数80人，内容为临床知识和技能培训；用于开展入职培训，人数为38人，内容为医院规章制度、院感防护、医疗质量保障及安全防范意识、医德医风教育等。</w:t>
      </w:r>
    </w:p>
    <w:p>
      <w:pPr>
        <w:pStyle w:val="10"/>
        <w:ind w:firstLine="640" w:firstLineChars="200"/>
        <w:rPr>
          <w:rFonts w:ascii="楷体" w:hAnsi="楷体" w:eastAsia="楷体" w:cs="楷体"/>
          <w:b/>
          <w:bCs/>
          <w:i/>
          <w:color w:val="FF0000"/>
          <w:sz w:val="32"/>
          <w:szCs w:val="32"/>
        </w:rPr>
      </w:pPr>
      <w:r>
        <w:rPr>
          <w:rFonts w:hint="eastAsia" w:ascii="Times New Roman" w:hAnsi="Times New Roman" w:eastAsia="仿宋_GB2312"/>
          <w:sz w:val="32"/>
          <w:szCs w:val="32"/>
        </w:rPr>
        <w:t>举办节庆、晚会、论坛、赛事活动年初预算0万元，支出决算为0万元，</w:t>
      </w:r>
      <w:r>
        <w:rPr>
          <w:rFonts w:hint="eastAsia" w:ascii="Times New Roman" w:hAnsi="Times New Roman" w:eastAsia="仿宋_GB2312"/>
          <w:bCs/>
          <w:sz w:val="32"/>
          <w:szCs w:val="32"/>
        </w:rPr>
        <w:t>本单位无举办节庆、晚会、论坛、赛事等活动的预算和支出决算数</w:t>
      </w:r>
      <w:r>
        <w:rPr>
          <w:rFonts w:hint="eastAsia" w:ascii="Times New Roman" w:hAnsi="Times New Roman" w:eastAsia="仿宋_GB2312"/>
          <w:b/>
          <w:bCs/>
          <w:sz w:val="32"/>
          <w:szCs w:val="32"/>
        </w:rPr>
        <w:t>。</w:t>
      </w:r>
    </w:p>
    <w:p>
      <w:pPr>
        <w:pStyle w:val="10"/>
        <w:spacing w:line="600" w:lineRule="exact"/>
        <w:ind w:firstLine="640" w:firstLineChars="200"/>
        <w:rPr>
          <w:rFonts w:hAnsi="黑体"/>
          <w:b/>
          <w:bCs/>
          <w:sz w:val="32"/>
          <w:szCs w:val="32"/>
        </w:rPr>
      </w:pPr>
      <w:r>
        <w:rPr>
          <w:rFonts w:hint="eastAsia" w:hAnsi="黑体"/>
          <w:b/>
          <w:bCs/>
          <w:sz w:val="32"/>
          <w:szCs w:val="32"/>
        </w:rPr>
        <w:t>十二、关于政府采购支出说明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本部门2022年度政府采购支出总额8489.2</w:t>
      </w:r>
      <w:r>
        <w:rPr>
          <w:rFonts w:ascii="Times New Roman" w:hAnsi="Times New Roman" w:eastAsia="仿宋_GB2312"/>
          <w:sz w:val="32"/>
          <w:szCs w:val="32"/>
        </w:rPr>
        <w:t>88</w:t>
      </w:r>
      <w:r>
        <w:rPr>
          <w:rFonts w:hint="eastAsia" w:ascii="Times New Roman" w:hAnsi="Times New Roman" w:eastAsia="仿宋_GB2312"/>
          <w:sz w:val="32"/>
          <w:szCs w:val="32"/>
        </w:rPr>
        <w:t>万元，其中：政府采购货物支出6332</w:t>
      </w:r>
      <w:r>
        <w:rPr>
          <w:rFonts w:ascii="Times New Roman" w:hAnsi="Times New Roman" w:eastAsia="仿宋_GB2312"/>
          <w:sz w:val="32"/>
          <w:szCs w:val="32"/>
        </w:rPr>
        <w:t>.01</w:t>
      </w:r>
      <w:r>
        <w:rPr>
          <w:rFonts w:hint="eastAsia" w:ascii="Times New Roman" w:hAnsi="Times New Roman" w:eastAsia="仿宋_GB2312"/>
          <w:sz w:val="32"/>
          <w:szCs w:val="32"/>
        </w:rPr>
        <w:t>万元、政府采购工程支出28.7万元、政府采购服务支出2128</w:t>
      </w:r>
      <w:r>
        <w:rPr>
          <w:rFonts w:ascii="Times New Roman" w:hAnsi="Times New Roman" w:eastAsia="仿宋_GB2312"/>
          <w:sz w:val="32"/>
          <w:szCs w:val="32"/>
        </w:rPr>
        <w:t>.578</w:t>
      </w:r>
      <w:r>
        <w:rPr>
          <w:rFonts w:hint="eastAsia" w:ascii="Times New Roman" w:hAnsi="Times New Roman" w:eastAsia="仿宋_GB2312"/>
          <w:sz w:val="32"/>
          <w:szCs w:val="32"/>
        </w:rPr>
        <w:t>万元。授予中小企业合同金额6330.6万元，占政府采购支出总额的</w:t>
      </w:r>
      <w:r>
        <w:rPr>
          <w:rFonts w:ascii="Times New Roman" w:hAnsi="Times New Roman" w:eastAsia="仿宋_GB2312"/>
          <w:sz w:val="32"/>
          <w:szCs w:val="32"/>
        </w:rPr>
        <w:t>74.</w:t>
      </w:r>
      <w:r>
        <w:rPr>
          <w:rFonts w:hint="eastAsia" w:ascii="Times New Roman" w:hAnsi="Times New Roman" w:eastAsia="仿宋_GB2312"/>
          <w:sz w:val="32"/>
          <w:szCs w:val="32"/>
        </w:rPr>
        <w:t>57%，其中：授予小微企业合同金额3979.62万元，占授予中小企业合同金额的</w:t>
      </w:r>
      <w:r>
        <w:rPr>
          <w:rFonts w:ascii="Times New Roman" w:hAnsi="Times New Roman" w:eastAsia="仿宋_GB2312"/>
          <w:sz w:val="32"/>
          <w:szCs w:val="32"/>
        </w:rPr>
        <w:t>6</w:t>
      </w:r>
      <w:r>
        <w:rPr>
          <w:rFonts w:hint="eastAsia" w:ascii="Times New Roman" w:hAnsi="Times New Roman" w:eastAsia="仿宋_GB2312"/>
          <w:sz w:val="32"/>
          <w:szCs w:val="32"/>
        </w:rPr>
        <w:t>2.86%。货物采购授予中小企业合同金额占货物支出金额的97.38%，工程采购授予中小企业合同金额占工程支出金额的</w:t>
      </w:r>
      <w:r>
        <w:rPr>
          <w:rFonts w:ascii="Times New Roman" w:hAnsi="Times New Roman" w:eastAsia="仿宋_GB2312"/>
          <w:sz w:val="32"/>
          <w:szCs w:val="32"/>
        </w:rPr>
        <w:t>0</w:t>
      </w:r>
      <w:r>
        <w:rPr>
          <w:rFonts w:hint="eastAsia" w:ascii="Times New Roman" w:hAnsi="Times New Roman" w:eastAsia="仿宋_GB2312"/>
          <w:sz w:val="32"/>
          <w:szCs w:val="32"/>
        </w:rPr>
        <w:t>%，服务采购授予中小企业合同金额占服务支出金额的7.7%。</w:t>
      </w:r>
    </w:p>
    <w:p>
      <w:pPr>
        <w:pStyle w:val="10"/>
        <w:spacing w:line="600" w:lineRule="exact"/>
        <w:ind w:firstLine="640" w:firstLineChars="200"/>
        <w:rPr>
          <w:rFonts w:hAnsi="黑体"/>
          <w:b/>
          <w:bCs/>
          <w:sz w:val="32"/>
          <w:szCs w:val="32"/>
        </w:rPr>
      </w:pPr>
      <w:r>
        <w:rPr>
          <w:rFonts w:hint="eastAsia" w:hAnsi="黑体"/>
          <w:b/>
          <w:bCs/>
          <w:sz w:val="32"/>
          <w:szCs w:val="32"/>
        </w:rPr>
        <w:t>十三、关于国有资产占用情况说明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6辆，其中，主要领导干部用车0辆，机要通信用车0辆、应急保障用车0辆、执法执勤用车0辆、特种专业技术用车0辆、其他用车6辆，其他用车主要是医疗救护用车；单位价值50万元以上通用设备0台（套）；单位价值100万元以上专用设备25台（套）。</w:t>
      </w:r>
    </w:p>
    <w:p>
      <w:pPr>
        <w:pStyle w:val="10"/>
        <w:spacing w:line="600" w:lineRule="exact"/>
        <w:ind w:firstLine="640" w:firstLineChars="200"/>
        <w:rPr>
          <w:rFonts w:hAnsi="黑体"/>
          <w:bCs/>
          <w:sz w:val="32"/>
          <w:szCs w:val="32"/>
        </w:rPr>
      </w:pPr>
      <w:r>
        <w:rPr>
          <w:rFonts w:hint="eastAsia" w:hAnsi="黑体"/>
          <w:bCs/>
          <w:sz w:val="32"/>
          <w:szCs w:val="32"/>
        </w:rPr>
        <w:t>十四、关于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（一）绩效管理评价工作开展情况。</w:t>
      </w:r>
    </w:p>
    <w:p>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根据预算绩效管理要求，我们组织对2022年度整体支出和项目资金实施了全覆盖性的绩效评价，撰写了绩效自评报告。</w:t>
      </w:r>
    </w:p>
    <w:p>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组织开展整体支出绩效评价，涉及一般公共预算支出</w:t>
      </w:r>
      <w:r>
        <w:rPr>
          <w:rFonts w:hint="eastAsia" w:ascii="仿宋_GB2312" w:hAnsi="仿宋_GB2312" w:eastAsia="仿宋_GB2312" w:cs="仿宋_GB2312"/>
          <w:color w:val="auto"/>
          <w:sz w:val="32"/>
          <w:szCs w:val="32"/>
          <w:lang w:val="en-US" w:eastAsia="zh-CN"/>
        </w:rPr>
        <w:t>2308.05</w:t>
      </w:r>
      <w:r>
        <w:rPr>
          <w:rFonts w:hint="eastAsia" w:ascii="仿宋_GB2312" w:hAnsi="仿宋_GB2312" w:eastAsia="仿宋_GB2312" w:cs="仿宋_GB2312"/>
          <w:sz w:val="32"/>
          <w:szCs w:val="32"/>
        </w:rPr>
        <w:t>万元，政府性基金预算支出0万元，国有资本经营预算支出0万元。从评价情况来看，整体支出绩效评价中，2022年整体支出</w:t>
      </w:r>
      <w:r>
        <w:rPr>
          <w:rFonts w:hint="eastAsia" w:ascii="仿宋_GB2312" w:hAnsi="仿宋_GB2312" w:eastAsia="仿宋_GB2312" w:cs="仿宋_GB2312"/>
          <w:color w:val="auto"/>
          <w:sz w:val="32"/>
          <w:szCs w:val="32"/>
          <w:lang w:val="en-US" w:eastAsia="zh-CN"/>
        </w:rPr>
        <w:t>34213.25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34213.25</w:t>
      </w:r>
      <w:r>
        <w:rPr>
          <w:rFonts w:hint="eastAsia" w:ascii="仿宋_GB2312" w:hAnsi="仿宋_GB2312" w:eastAsia="仿宋_GB2312" w:cs="仿宋_GB2312"/>
          <w:sz w:val="32"/>
          <w:szCs w:val="32"/>
        </w:rPr>
        <w:t>万元，项目支出0万元，本单位整体支出绩效自评综合评分85分，评价结果等次为良好。</w:t>
      </w:r>
    </w:p>
    <w:p>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对一般公共预算项目支出全面开展绩效自评，项目0个，共涉及资金0万元，占一般公共预算项目支出总额的0%。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本单位无项目支出，未开展项目绩效自评，无项目绩效自评结果。</w:t>
      </w:r>
    </w:p>
    <w:p>
      <w:pPr>
        <w:pStyle w:val="10"/>
        <w:numPr>
          <w:ilvl w:val="0"/>
          <w:numId w:val="2"/>
        </w:numPr>
        <w:spacing w:line="600" w:lineRule="exa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部门决算中绩效自评结果情况。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根据年初设定的绩效目标，绩效自评得分为85分。全年预算数为</w:t>
      </w:r>
      <w:r>
        <w:rPr>
          <w:rFonts w:ascii="仿宋_GB2312" w:hAnsi="仿宋_GB2312" w:eastAsia="仿宋_GB2312" w:cs="仿宋_GB2312"/>
          <w:sz w:val="32"/>
          <w:szCs w:val="32"/>
        </w:rPr>
        <w:t>2639.94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2308.05</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87.43</w:t>
      </w:r>
      <w:r>
        <w:rPr>
          <w:rFonts w:hint="eastAsia" w:ascii="仿宋_GB2312" w:hAnsi="仿宋_GB2312" w:eastAsia="仿宋_GB2312" w:cs="仿宋_GB2312"/>
          <w:sz w:val="32"/>
          <w:szCs w:val="32"/>
        </w:rPr>
        <w:t>%。绩效目标完成情况：一是产出指标中的数量指标、质量指标、时效指标、成本指标均达到预期目标；二是效益指标中的生态效益指标、可持续影响指标均达预期目标；三是服务对象满意度达标。发现的主要问题及原因：一是</w:t>
      </w:r>
      <w:r>
        <w:rPr>
          <w:rFonts w:hint="eastAsia" w:ascii="仿宋_GB2312" w:hAnsi="仿宋_GB2312" w:eastAsia="仿宋_GB2312" w:cs="仿宋_GB2312"/>
          <w:color w:val="000000"/>
          <w:kern w:val="0"/>
          <w:sz w:val="32"/>
          <w:szCs w:val="32"/>
        </w:rPr>
        <w:t>绩效指标</w:t>
      </w:r>
      <w:r>
        <w:rPr>
          <w:rFonts w:hint="eastAsia" w:ascii="仿宋_GB2312" w:hAnsi="仿宋_GB2312" w:eastAsia="仿宋_GB2312" w:cs="仿宋_GB2312"/>
          <w:sz w:val="32"/>
          <w:szCs w:val="32"/>
        </w:rPr>
        <w:t>的合理性：如人员经费占总成本的比例，规定下限而无上限，是否合理；二是</w:t>
      </w:r>
      <w:r>
        <w:rPr>
          <w:rFonts w:hint="eastAsia" w:ascii="仿宋_GB2312" w:hAnsi="仿宋_GB2312" w:eastAsia="仿宋_GB2312" w:cs="仿宋_GB2312"/>
          <w:color w:val="000000"/>
          <w:kern w:val="0"/>
          <w:sz w:val="32"/>
          <w:szCs w:val="32"/>
        </w:rPr>
        <w:t>绩效指标的科学性：社会效益指标采用就诊次均费用逐年下降，以体现</w:t>
      </w:r>
      <w:r>
        <w:rPr>
          <w:rFonts w:hint="eastAsia" w:eastAsia="仿宋_GB2312" w:cs="仿宋_GB2312" w:asciiTheme="minorHAnsi" w:hAnsiTheme="minorHAnsi"/>
          <w:color w:val="000000"/>
          <w:kern w:val="0"/>
          <w:sz w:val="32"/>
          <w:szCs w:val="32"/>
        </w:rPr>
        <w:t>妇幼机构</w:t>
      </w:r>
      <w:r>
        <w:rPr>
          <w:rFonts w:hint="eastAsia" w:ascii="仿宋_GB2312" w:hAnsi="仿宋_GB2312" w:eastAsia="仿宋_GB2312" w:cs="仿宋_GB2312"/>
          <w:color w:val="000000"/>
          <w:kern w:val="0"/>
          <w:sz w:val="32"/>
          <w:szCs w:val="32"/>
        </w:rPr>
        <w:t>保健功能，减轻服务对象经济压力，但是随着医疗服务价格的调整</w:t>
      </w:r>
      <w:r>
        <w:rPr>
          <w:rFonts w:hint="eastAsia" w:ascii="仿宋_GB2312" w:hAnsi="仿宋_GB2312" w:eastAsia="仿宋_GB2312" w:cs="仿宋_GB2312"/>
          <w:sz w:val="32"/>
          <w:szCs w:val="32"/>
        </w:rPr>
        <w:t>，设定 “就诊费用金额” 为绩效目标，要求逐年下降，难以实现；三是绩效目标的合作性：作为爱心助孕补助发放方，是补助发放的最后一个环节，前期政策的宣传，对象的筛查，手续办理，各个环节需共同协作才能保证目标实现。下一步改进措施：一是加强学习。组织财务人员对预算编制、绩效管理等专业知识的培训，提高意识和技能水平；二是制定更加合理、科学的绩效指标，工作才能得到更合理的评价；三是严格财务审核，在预算金额内控制开支，提高资金使用效率。</w:t>
      </w:r>
    </w:p>
    <w:p>
      <w:pPr>
        <w:pStyle w:val="10"/>
        <w:spacing w:line="600" w:lineRule="exa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（三）部门评价项目绩效评价结果。</w:t>
      </w:r>
    </w:p>
    <w:p>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预算绩效管理开展情况、绩效目标和绩效评价报告等，已在市政府部门财政预决算公开平台上向社会公开。</w:t>
      </w:r>
    </w:p>
    <w:p>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详见附件。</w:t>
      </w:r>
    </w:p>
    <w:p>
      <w:pPr>
        <w:pStyle w:val="10"/>
        <w:jc w:val="both"/>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ascii="宋体" w:hAnsi="宋体" w:cs="黑体"/>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pStyle w:val="10"/>
        <w:jc w:val="center"/>
        <w:rPr>
          <w:sz w:val="72"/>
          <w:szCs w:val="72"/>
        </w:rPr>
      </w:pPr>
      <w:r>
        <w:rPr>
          <w:rFonts w:hint="eastAsia"/>
          <w:sz w:val="70"/>
          <w:szCs w:val="70"/>
        </w:rPr>
        <w:t>附件</w:t>
      </w:r>
    </w:p>
    <w:p>
      <w:pPr>
        <w:ind w:firstLine="640" w:firstLineChars="200"/>
        <w:jc w:val="left"/>
        <w:rPr>
          <w:rFonts w:ascii="宋体" w:hAnsi="宋体" w:cs="黑体"/>
          <w:b/>
          <w:color w:val="000000"/>
          <w:kern w:val="0"/>
          <w:sz w:val="32"/>
          <w:szCs w:val="32"/>
        </w:rPr>
      </w:pPr>
    </w:p>
    <w:p>
      <w:pPr>
        <w:ind w:firstLine="640" w:firstLineChars="200"/>
        <w:jc w:val="left"/>
        <w:rPr>
          <w:rFonts w:ascii="宋体" w:hAnsi="宋体" w:cs="黑体"/>
          <w:b/>
          <w:color w:val="000000"/>
          <w:kern w:val="0"/>
          <w:sz w:val="32"/>
          <w:szCs w:val="32"/>
        </w:rPr>
      </w:pPr>
      <w:r>
        <w:rPr>
          <w:rFonts w:hint="eastAsia" w:ascii="宋体" w:hAnsi="宋体" w:cs="黑体"/>
          <w:b/>
          <w:color w:val="000000"/>
          <w:kern w:val="0"/>
          <w:sz w:val="32"/>
          <w:szCs w:val="32"/>
        </w:rPr>
        <w:t>1、2022年部门决算公开表格</w:t>
      </w:r>
    </w:p>
    <w:p>
      <w:pPr>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2、2022年度部门整体支出绩效评价报告</w:t>
      </w:r>
    </w:p>
    <w:sectPr>
      <w:pgSz w:w="11906" w:h="16838"/>
      <w:pgMar w:top="720" w:right="720" w:bottom="720" w:left="72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94DDF"/>
    <w:multiLevelType w:val="singleLevel"/>
    <w:tmpl w:val="08994DDF"/>
    <w:lvl w:ilvl="0" w:tentative="0">
      <w:start w:val="2"/>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16576"/>
    <w:rsid w:val="00020503"/>
    <w:rsid w:val="0002229B"/>
    <w:rsid w:val="000273BD"/>
    <w:rsid w:val="00040CBC"/>
    <w:rsid w:val="000415B7"/>
    <w:rsid w:val="00041E3F"/>
    <w:rsid w:val="00055DAA"/>
    <w:rsid w:val="0005671A"/>
    <w:rsid w:val="00061F7B"/>
    <w:rsid w:val="000658A3"/>
    <w:rsid w:val="00074155"/>
    <w:rsid w:val="00077996"/>
    <w:rsid w:val="00081BC6"/>
    <w:rsid w:val="000A3F69"/>
    <w:rsid w:val="000A7F93"/>
    <w:rsid w:val="000E574A"/>
    <w:rsid w:val="00103957"/>
    <w:rsid w:val="00110611"/>
    <w:rsid w:val="00152C6D"/>
    <w:rsid w:val="00162D39"/>
    <w:rsid w:val="001678BD"/>
    <w:rsid w:val="00182373"/>
    <w:rsid w:val="0019195D"/>
    <w:rsid w:val="001A67DB"/>
    <w:rsid w:val="001C3C29"/>
    <w:rsid w:val="001D51E5"/>
    <w:rsid w:val="001D547A"/>
    <w:rsid w:val="001E080D"/>
    <w:rsid w:val="001E1F44"/>
    <w:rsid w:val="001E38ED"/>
    <w:rsid w:val="001E53D0"/>
    <w:rsid w:val="001F0C3B"/>
    <w:rsid w:val="00202C82"/>
    <w:rsid w:val="00214427"/>
    <w:rsid w:val="00226CB7"/>
    <w:rsid w:val="00264552"/>
    <w:rsid w:val="00264EF9"/>
    <w:rsid w:val="00265724"/>
    <w:rsid w:val="00271683"/>
    <w:rsid w:val="0027426B"/>
    <w:rsid w:val="00285DE9"/>
    <w:rsid w:val="00290F60"/>
    <w:rsid w:val="002A19DC"/>
    <w:rsid w:val="002A1DB3"/>
    <w:rsid w:val="002A684E"/>
    <w:rsid w:val="002B68AF"/>
    <w:rsid w:val="002E0A30"/>
    <w:rsid w:val="00310C43"/>
    <w:rsid w:val="003130C4"/>
    <w:rsid w:val="00315A6C"/>
    <w:rsid w:val="00316C4B"/>
    <w:rsid w:val="0032192B"/>
    <w:rsid w:val="003309A8"/>
    <w:rsid w:val="00333049"/>
    <w:rsid w:val="00342949"/>
    <w:rsid w:val="003479BD"/>
    <w:rsid w:val="0036415A"/>
    <w:rsid w:val="0037197D"/>
    <w:rsid w:val="003768D5"/>
    <w:rsid w:val="00390E00"/>
    <w:rsid w:val="003926B9"/>
    <w:rsid w:val="003A3383"/>
    <w:rsid w:val="003C47E6"/>
    <w:rsid w:val="003C4FC2"/>
    <w:rsid w:val="003E3F19"/>
    <w:rsid w:val="00416B0A"/>
    <w:rsid w:val="00416E61"/>
    <w:rsid w:val="0042790C"/>
    <w:rsid w:val="004506F9"/>
    <w:rsid w:val="004717A2"/>
    <w:rsid w:val="00473DF3"/>
    <w:rsid w:val="00475FD3"/>
    <w:rsid w:val="00487911"/>
    <w:rsid w:val="00491741"/>
    <w:rsid w:val="00491AA9"/>
    <w:rsid w:val="00493E3D"/>
    <w:rsid w:val="004B0CEE"/>
    <w:rsid w:val="004B3680"/>
    <w:rsid w:val="004B77FE"/>
    <w:rsid w:val="00500E5F"/>
    <w:rsid w:val="005122EF"/>
    <w:rsid w:val="0051441A"/>
    <w:rsid w:val="00517C33"/>
    <w:rsid w:val="00517D5F"/>
    <w:rsid w:val="005213E2"/>
    <w:rsid w:val="00523644"/>
    <w:rsid w:val="005276BF"/>
    <w:rsid w:val="0054069E"/>
    <w:rsid w:val="00544866"/>
    <w:rsid w:val="00557595"/>
    <w:rsid w:val="005767CC"/>
    <w:rsid w:val="00590D9F"/>
    <w:rsid w:val="00595D26"/>
    <w:rsid w:val="005A74E6"/>
    <w:rsid w:val="005B404E"/>
    <w:rsid w:val="005D4D55"/>
    <w:rsid w:val="005E2CFB"/>
    <w:rsid w:val="005F2103"/>
    <w:rsid w:val="005F3D1C"/>
    <w:rsid w:val="005F46BF"/>
    <w:rsid w:val="0062378F"/>
    <w:rsid w:val="00641842"/>
    <w:rsid w:val="00651EEC"/>
    <w:rsid w:val="0068199B"/>
    <w:rsid w:val="006842E4"/>
    <w:rsid w:val="00686673"/>
    <w:rsid w:val="00686E4A"/>
    <w:rsid w:val="00691E8C"/>
    <w:rsid w:val="006A22C4"/>
    <w:rsid w:val="006A351B"/>
    <w:rsid w:val="006B0422"/>
    <w:rsid w:val="006B2797"/>
    <w:rsid w:val="006B599B"/>
    <w:rsid w:val="006C1B53"/>
    <w:rsid w:val="006D7730"/>
    <w:rsid w:val="006E5284"/>
    <w:rsid w:val="006E7057"/>
    <w:rsid w:val="006F1391"/>
    <w:rsid w:val="006F3EB5"/>
    <w:rsid w:val="006F6372"/>
    <w:rsid w:val="00702E34"/>
    <w:rsid w:val="00704395"/>
    <w:rsid w:val="00710FE7"/>
    <w:rsid w:val="00717621"/>
    <w:rsid w:val="00720FF1"/>
    <w:rsid w:val="007222EA"/>
    <w:rsid w:val="00727A53"/>
    <w:rsid w:val="00730AB5"/>
    <w:rsid w:val="00787B42"/>
    <w:rsid w:val="007C4539"/>
    <w:rsid w:val="007C781D"/>
    <w:rsid w:val="007F3657"/>
    <w:rsid w:val="00811511"/>
    <w:rsid w:val="00812ED5"/>
    <w:rsid w:val="0082186B"/>
    <w:rsid w:val="008277D9"/>
    <w:rsid w:val="00832F69"/>
    <w:rsid w:val="0084478C"/>
    <w:rsid w:val="0086638C"/>
    <w:rsid w:val="008A3E8D"/>
    <w:rsid w:val="009237C4"/>
    <w:rsid w:val="00944C48"/>
    <w:rsid w:val="00950252"/>
    <w:rsid w:val="00967F5D"/>
    <w:rsid w:val="00997D39"/>
    <w:rsid w:val="009A0F95"/>
    <w:rsid w:val="009A5383"/>
    <w:rsid w:val="009B1C09"/>
    <w:rsid w:val="009B3ADF"/>
    <w:rsid w:val="009C3B52"/>
    <w:rsid w:val="009C4AE6"/>
    <w:rsid w:val="009D4FD5"/>
    <w:rsid w:val="009E6817"/>
    <w:rsid w:val="009E6E9A"/>
    <w:rsid w:val="009F4F40"/>
    <w:rsid w:val="00A009EE"/>
    <w:rsid w:val="00A01D2B"/>
    <w:rsid w:val="00A02373"/>
    <w:rsid w:val="00A137B8"/>
    <w:rsid w:val="00A1572C"/>
    <w:rsid w:val="00A3180B"/>
    <w:rsid w:val="00A339CC"/>
    <w:rsid w:val="00A42218"/>
    <w:rsid w:val="00A55005"/>
    <w:rsid w:val="00A70249"/>
    <w:rsid w:val="00A70B02"/>
    <w:rsid w:val="00A71D9F"/>
    <w:rsid w:val="00A92E9F"/>
    <w:rsid w:val="00AB18FF"/>
    <w:rsid w:val="00B02ABE"/>
    <w:rsid w:val="00B33BEA"/>
    <w:rsid w:val="00B34218"/>
    <w:rsid w:val="00B57C9F"/>
    <w:rsid w:val="00B63572"/>
    <w:rsid w:val="00B845B3"/>
    <w:rsid w:val="00B85D8B"/>
    <w:rsid w:val="00BB4A40"/>
    <w:rsid w:val="00BD6C3E"/>
    <w:rsid w:val="00BE3674"/>
    <w:rsid w:val="00C07B0D"/>
    <w:rsid w:val="00C10681"/>
    <w:rsid w:val="00C3049A"/>
    <w:rsid w:val="00C31B1E"/>
    <w:rsid w:val="00C531CE"/>
    <w:rsid w:val="00C77645"/>
    <w:rsid w:val="00C95DAC"/>
    <w:rsid w:val="00CD5FC5"/>
    <w:rsid w:val="00CE04C3"/>
    <w:rsid w:val="00CE1E2E"/>
    <w:rsid w:val="00CE76A0"/>
    <w:rsid w:val="00D0187E"/>
    <w:rsid w:val="00D018F8"/>
    <w:rsid w:val="00D106BC"/>
    <w:rsid w:val="00D148C6"/>
    <w:rsid w:val="00D16CD6"/>
    <w:rsid w:val="00D17A8A"/>
    <w:rsid w:val="00D256A9"/>
    <w:rsid w:val="00D415BA"/>
    <w:rsid w:val="00D63780"/>
    <w:rsid w:val="00D644EE"/>
    <w:rsid w:val="00D92A86"/>
    <w:rsid w:val="00DA3A87"/>
    <w:rsid w:val="00DC3E1A"/>
    <w:rsid w:val="00DD06FF"/>
    <w:rsid w:val="00DD5FE9"/>
    <w:rsid w:val="00DF2ED6"/>
    <w:rsid w:val="00E009E1"/>
    <w:rsid w:val="00E00C7A"/>
    <w:rsid w:val="00E1414C"/>
    <w:rsid w:val="00E34B64"/>
    <w:rsid w:val="00E37D6C"/>
    <w:rsid w:val="00E5275F"/>
    <w:rsid w:val="00E55B68"/>
    <w:rsid w:val="00E561AE"/>
    <w:rsid w:val="00E67BE6"/>
    <w:rsid w:val="00E8683C"/>
    <w:rsid w:val="00EA2B72"/>
    <w:rsid w:val="00EB044F"/>
    <w:rsid w:val="00EC5BBB"/>
    <w:rsid w:val="00F11E86"/>
    <w:rsid w:val="00F74360"/>
    <w:rsid w:val="00F83162"/>
    <w:rsid w:val="00FB4264"/>
    <w:rsid w:val="00FB462F"/>
    <w:rsid w:val="00FC2D9E"/>
    <w:rsid w:val="00FE16FA"/>
    <w:rsid w:val="00FE30FB"/>
    <w:rsid w:val="00FE328A"/>
    <w:rsid w:val="00FE6269"/>
    <w:rsid w:val="00FF5CD6"/>
    <w:rsid w:val="01502DA8"/>
    <w:rsid w:val="051B62E6"/>
    <w:rsid w:val="0DEB3B66"/>
    <w:rsid w:val="0E6507AC"/>
    <w:rsid w:val="0FE87D3D"/>
    <w:rsid w:val="11A63AC3"/>
    <w:rsid w:val="11AB4111"/>
    <w:rsid w:val="12980212"/>
    <w:rsid w:val="15986B0A"/>
    <w:rsid w:val="17D85E72"/>
    <w:rsid w:val="18346CCA"/>
    <w:rsid w:val="1D040BF2"/>
    <w:rsid w:val="21AB1536"/>
    <w:rsid w:val="29A77266"/>
    <w:rsid w:val="2CA872A3"/>
    <w:rsid w:val="2F026361"/>
    <w:rsid w:val="2F66122A"/>
    <w:rsid w:val="306F0E15"/>
    <w:rsid w:val="30704E0D"/>
    <w:rsid w:val="31C3379C"/>
    <w:rsid w:val="34B20B82"/>
    <w:rsid w:val="34D11495"/>
    <w:rsid w:val="35D7440C"/>
    <w:rsid w:val="361971D0"/>
    <w:rsid w:val="368A209F"/>
    <w:rsid w:val="36F40B94"/>
    <w:rsid w:val="383B6A03"/>
    <w:rsid w:val="3E900B33"/>
    <w:rsid w:val="40FD201B"/>
    <w:rsid w:val="4B816DED"/>
    <w:rsid w:val="4DEB7267"/>
    <w:rsid w:val="50DA5E9A"/>
    <w:rsid w:val="51E51FEA"/>
    <w:rsid w:val="521C3BAD"/>
    <w:rsid w:val="528C5106"/>
    <w:rsid w:val="55C63EE6"/>
    <w:rsid w:val="56252ADC"/>
    <w:rsid w:val="5777D4F5"/>
    <w:rsid w:val="58C47CC8"/>
    <w:rsid w:val="59151E56"/>
    <w:rsid w:val="5B4F3FC2"/>
    <w:rsid w:val="5FC6BB1E"/>
    <w:rsid w:val="5FF720F1"/>
    <w:rsid w:val="62F12662"/>
    <w:rsid w:val="63930AB7"/>
    <w:rsid w:val="6C8F0D21"/>
    <w:rsid w:val="6D1D2BA3"/>
    <w:rsid w:val="6E1B6DB2"/>
    <w:rsid w:val="737D59BA"/>
    <w:rsid w:val="776B5ABC"/>
    <w:rsid w:val="77C37683"/>
    <w:rsid w:val="77DE0B76"/>
    <w:rsid w:val="78B654E3"/>
    <w:rsid w:val="79FF515B"/>
    <w:rsid w:val="79FF6DAC"/>
    <w:rsid w:val="7B1B1801"/>
    <w:rsid w:val="7B862F74"/>
    <w:rsid w:val="7C501E80"/>
    <w:rsid w:val="7D661C0D"/>
    <w:rsid w:val="7D995E56"/>
    <w:rsid w:val="7E9F11B4"/>
    <w:rsid w:val="7F6F3810"/>
    <w:rsid w:val="7FC69637"/>
    <w:rsid w:val="7FFDB408"/>
    <w:rsid w:val="BFBD6FF0"/>
    <w:rsid w:val="CBFF70E0"/>
    <w:rsid w:val="EEABED75"/>
    <w:rsid w:val="FB36E1A6"/>
    <w:rsid w:val="FFFF1C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页眉 Char"/>
    <w:basedOn w:val="6"/>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font01"/>
    <w:basedOn w:val="6"/>
    <w:qFormat/>
    <w:uiPriority w:val="0"/>
    <w:rPr>
      <w:rFonts w:hint="eastAsia" w:ascii="宋体" w:hAnsi="宋体" w:eastAsia="宋体" w:cs="宋体"/>
      <w:color w:val="000000"/>
      <w:sz w:val="22"/>
      <w:szCs w:val="22"/>
      <w:u w:val="none"/>
    </w:rPr>
  </w:style>
  <w:style w:type="character" w:customStyle="1" w:styleId="13">
    <w:name w:val="font21"/>
    <w:basedOn w:val="6"/>
    <w:qFormat/>
    <w:uiPriority w:val="0"/>
    <w:rPr>
      <w:rFonts w:hint="eastAsia" w:ascii="宋体" w:hAnsi="宋体" w:eastAsia="宋体" w:cs="宋体"/>
      <w:color w:val="000000"/>
      <w:sz w:val="24"/>
      <w:szCs w:val="24"/>
      <w:u w:val="none"/>
    </w:rPr>
  </w:style>
  <w:style w:type="character" w:customStyle="1" w:styleId="14">
    <w:name w:val="font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19</Pages>
  <Words>7322</Words>
  <Characters>8111</Characters>
  <Lines>56</Lines>
  <Paragraphs>15</Paragraphs>
  <TotalTime>4</TotalTime>
  <ScaleCrop>false</ScaleCrop>
  <LinksUpToDate>false</LinksUpToDate>
  <CharactersWithSpaces>8162</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2023-10-17T16:20:00Z</dcterms:created>
  <dc:creator>李航 null</dc:creator>
  <cp:lastModifiedBy>Administrator</cp:lastModifiedBy>
  <cp:lastPrinted>2023-08-15T17:28:00Z</cp:lastPrinted>
  <dcterms:modified xsi:type="dcterms:W3CDTF">2024-10-14T02:05:57Z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479E4103F4A741FBA580AFAD9D81F8E6</vt:lpwstr>
  </property>
</Properties>
</file>