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both"/>
        <w:rPr>
          <w:rFonts w:hint="eastAsia" w:eastAsia="方正小标宋简体"/>
          <w:bCs/>
          <w:sz w:val="42"/>
          <w:szCs w:val="42"/>
          <w:lang w:val="en-US" w:eastAsia="zh-CN"/>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岳阳市卫生健康委员会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30200</w:t>
      </w:r>
      <w:bookmarkStart w:id="0" w:name="_GoBack"/>
      <w:bookmarkEnd w:id="0"/>
      <w:r>
        <w:rPr>
          <w:rFonts w:hint="eastAsia" w:eastAsia="仿宋_GB2312"/>
          <w:spacing w:val="20"/>
          <w:sz w:val="32"/>
          <w:szCs w:val="32"/>
          <w:u w:val="single"/>
          <w:lang w:val="en-US" w:eastAsia="zh-CN"/>
        </w:rPr>
        <w:t>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 xml:space="preserve">6 </w:t>
      </w:r>
      <w:r>
        <w:rPr>
          <w:rFonts w:hint="eastAsia" w:eastAsia="仿宋_GB2312"/>
          <w:sz w:val="32"/>
        </w:rPr>
        <w:t>月</w:t>
      </w:r>
      <w:r>
        <w:rPr>
          <w:rFonts w:hint="eastAsia" w:eastAsia="仿宋_GB2312"/>
          <w:sz w:val="32"/>
          <w:lang w:val="en-US" w:eastAsia="zh-CN"/>
        </w:rPr>
        <w:t>10</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290"/>
        <w:gridCol w:w="1145"/>
        <w:gridCol w:w="272"/>
        <w:gridCol w:w="808"/>
        <w:gridCol w:w="1327"/>
        <w:gridCol w:w="152"/>
        <w:gridCol w:w="422"/>
        <w:gridCol w:w="431"/>
        <w:gridCol w:w="826"/>
        <w:gridCol w:w="284"/>
        <w:gridCol w:w="202"/>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738"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谢美</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04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0730-8237917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104</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04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084" w:type="dxa"/>
            <w:gridSpan w:val="13"/>
            <w:vAlign w:val="center"/>
          </w:tcPr>
          <w:p>
            <w:pPr>
              <w:autoSpaceDN w:val="0"/>
              <w:spacing w:line="320" w:lineRule="exact"/>
              <w:jc w:val="left"/>
              <w:textAlignment w:val="center"/>
              <w:rPr>
                <w:rFonts w:hint="eastAsia" w:ascii="仿宋" w:hAnsi="仿宋" w:eastAsia="仿宋" w:cs="仿宋"/>
                <w:b w:val="0"/>
                <w:bCs/>
                <w:kern w:val="2"/>
                <w:sz w:val="24"/>
                <w:szCs w:val="24"/>
                <w:lang w:val="en-US" w:eastAsia="zh-CN" w:bidi="ar-SA"/>
              </w:rPr>
            </w:pPr>
          </w:p>
          <w:p>
            <w:pPr>
              <w:autoSpaceDN w:val="0"/>
              <w:spacing w:line="320" w:lineRule="exact"/>
              <w:ind w:firstLine="480" w:firstLineChars="200"/>
              <w:jc w:val="left"/>
              <w:textAlignment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贯彻执行国民健康政策及国家和省关于卫生健康工作的方针政策和法律法规，拟订并组织实施全市卫生健康政策、规划，组织实施国家、省卫生健康地方标准和技术规范。统筹规划全市卫生健康服务资源配置，指导区域卫生健康规划的编制和实施。协调推进全市深化医药卫生体制改革，研究提出全市深化医药卫生体制改革政策、措施的建议；制定并组织落实全市疾病预防控制规划、免疫规划以及严重危害人民健康公共卫生问题的干预措施；组织拟订并协调落实应对人口老龄化政策措施，推进老年健康服务体系建设和医养结合工作；贯彻执行国家药物政策和国家基本药物制度，开展药品使用监测、临床综合评价和短缺药品预警；负责职责范围内的职业卫生、放射卫生、环境卫生、学校卫生、公共场所卫生、饮用水卫生等公共卫生的监督管理；制定全市医疗机构、医疗服务行业管理办法并监督实施，建立医疗服务评价和监督管理体系；负责计划生育管理和服务工作；指导全市卫生健康工作；指导基层医疗卫生、妇幼健康服务体系建设，加强全科医生队伍建设；负责全市健康教育、健康促进和卫生健康信息化建设等工作；负责市保健对象医疗保健工作；指导市计划生育协会业务工作。</w:t>
            </w:r>
          </w:p>
          <w:p>
            <w:pPr>
              <w:autoSpaceDN w:val="0"/>
              <w:spacing w:line="320" w:lineRule="exact"/>
              <w:jc w:val="left"/>
              <w:textAlignment w:val="center"/>
              <w:rPr>
                <w:rFonts w:hint="eastAsia" w:ascii="仿宋" w:hAnsi="仿宋" w:eastAsia="仿宋" w:cs="仿宋"/>
                <w:b w:val="0"/>
                <w:bCs/>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084" w:type="dxa"/>
            <w:gridSpan w:val="13"/>
            <w:vAlign w:val="center"/>
          </w:tcPr>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任务1：切实做好新冠肺炎疫情防控工作。</w:t>
            </w: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任务2：进一步深化公立医院改革、推进事业单位改革</w:t>
            </w: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任务3：扎实做好公共卫生和重大疾病防控工作。</w:t>
            </w: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任务4、补齐基层医疗卫生服务短板。</w:t>
            </w: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任务5、增强优质医疗服务资源供给能力。</w:t>
            </w: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任务6、大力发展“互联网+医疗健康” 。</w:t>
            </w: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任务7、稳步促进人口均衡发展与健康老龄化。</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084" w:type="dxa"/>
            <w:gridSpan w:val="13"/>
            <w:vAlign w:val="center"/>
          </w:tcPr>
          <w:p>
            <w:pPr>
              <w:autoSpaceDN w:val="0"/>
              <w:spacing w:line="320" w:lineRule="exact"/>
              <w:jc w:val="left"/>
              <w:textAlignment w:val="center"/>
              <w:rPr>
                <w:rFonts w:ascii="仿宋_GB2312" w:hAnsi="仿宋_GB2312" w:eastAsia="仿宋_GB2312" w:cs="仿宋_GB2312"/>
                <w:color w:val="000000"/>
                <w:sz w:val="24"/>
              </w:rPr>
            </w:pPr>
          </w:p>
          <w:p>
            <w:pPr>
              <w:numPr>
                <w:ilvl w:val="0"/>
                <w:numId w:val="0"/>
              </w:numPr>
              <w:autoSpaceDN w:val="0"/>
              <w:spacing w:line="320" w:lineRule="exact"/>
              <w:ind w:firstLine="480" w:firstLineChars="200"/>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一、新冠肺炎疫情取得阶段胜利。全市累计报告确诊病例156例，治愈率99.3%，51天实现所有确诊病例清零，成功守住了湖南“北大门”，岳阳市卫生健康委被评为“全省抗疫先进集体”。</w:t>
            </w:r>
          </w:p>
          <w:p>
            <w:pPr>
              <w:numPr>
                <w:ilvl w:val="0"/>
                <w:numId w:val="0"/>
              </w:numPr>
              <w:autoSpaceDN w:val="0"/>
              <w:spacing w:line="320" w:lineRule="exact"/>
              <w:ind w:firstLine="480" w:firstLineChars="200"/>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健康扶贫完美收官。机构改革卓有成效。市红十字会、市计生协会和市医疗仪器服务站改革取得实质进展。民生实事超标完成。医改一步深化。市疾控中心完成防治分离，推进医联体建设，下转率较去年同期增长39%。对856项医疗服务价格进行调整新增54个单病种支付标准。</w:t>
            </w:r>
          </w:p>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_GB2312" w:hAnsi="仿宋_GB2312" w:eastAsia="仿宋_GB2312" w:cs="仿宋_GB2312"/>
                <w:color w:val="000000"/>
                <w:sz w:val="24"/>
                <w:lang w:val="en-US" w:eastAsia="zh-CN"/>
              </w:rPr>
              <w:t xml:space="preserve">    三、健康岳</w:t>
            </w:r>
            <w:r>
              <w:rPr>
                <w:rFonts w:hint="eastAsia" w:ascii="仿宋" w:hAnsi="仿宋" w:eastAsia="仿宋" w:cs="仿宋"/>
                <w:b w:val="0"/>
                <w:bCs/>
                <w:sz w:val="24"/>
                <w:szCs w:val="24"/>
                <w:lang w:val="en-US" w:eastAsia="zh-CN"/>
              </w:rPr>
              <w:t>阳行动加快推进。启动市中心医院（市公共卫生救治中心）建设，市中医院基本医疗住院大楼正在进行装修，市妇幼保健院迁建项目已完成主体工程，市二医院新门诊大楼项目快速推进。启动了智慧医疗健康云平台建设。启动了连续三年全市重点专科能力提升工程，市财政每年投入1000万元。启动连续三年的医卫人才本土化培养，今年通过单招与统招共录取了361名免费定向培养医学生。推广中医特色治疗技术和特色护理技术140余项。大力开展健康城镇创建，着力提升全民健康素养，健康素养指数较去年增长12.85。扎实做好计生特殊家庭帮扶，为中心城区31个无房户发放“租房补贴”。</w:t>
            </w:r>
          </w:p>
          <w:p>
            <w:pPr>
              <w:autoSpaceDN w:val="0"/>
              <w:spacing w:line="320" w:lineRule="exact"/>
              <w:ind w:firstLine="480" w:firstLineChars="200"/>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四、压紧压实全面管党治党责任。全面加强公立医院党的建设。大力推行“支部建在科室 堡垒强在支部”，探索建立“双培养”机制及实施“双带头人”培育工程，开展“三表率一模范”政治机关创建，实行党员积分管理制度，健全完善市直医院总会计师制度。</w:t>
            </w:r>
          </w:p>
          <w:p>
            <w:pPr>
              <w:autoSpaceDN w:val="0"/>
              <w:spacing w:line="320" w:lineRule="exact"/>
              <w:ind w:firstLine="480" w:firstLineChars="200"/>
              <w:jc w:val="left"/>
              <w:textAlignment w:val="center"/>
              <w:rPr>
                <w:rFonts w:hint="eastAsia" w:ascii="仿宋" w:hAnsi="仿宋" w:eastAsia="仿宋" w:cs="仿宋"/>
                <w:b w:val="0"/>
                <w:bCs/>
                <w:sz w:val="24"/>
                <w:szCs w:val="24"/>
                <w:lang w:val="en-US" w:eastAsia="zh-CN"/>
              </w:rPr>
            </w:pPr>
          </w:p>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jc w:val="center"/>
        </w:trPr>
        <w:tc>
          <w:tcPr>
            <w:tcW w:w="9738"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738"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9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748"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99"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32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拨款</w:t>
            </w:r>
          </w:p>
        </w:tc>
        <w:tc>
          <w:tcPr>
            <w:tcW w:w="211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0" w:hRule="atLeast"/>
          <w:jc w:val="center"/>
        </w:trPr>
        <w:tc>
          <w:tcPr>
            <w:tcW w:w="170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汇</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总</w:t>
            </w:r>
          </w:p>
        </w:tc>
        <w:tc>
          <w:tcPr>
            <w:tcW w:w="1290" w:type="dxa"/>
            <w:tcBorders>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107360.22</w:t>
            </w:r>
          </w:p>
        </w:tc>
        <w:tc>
          <w:tcPr>
            <w:tcW w:w="114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1186.32</w:t>
            </w:r>
          </w:p>
        </w:tc>
        <w:tc>
          <w:tcPr>
            <w:tcW w:w="1080" w:type="dxa"/>
            <w:gridSpan w:val="2"/>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12274.85</w:t>
            </w:r>
          </w:p>
        </w:tc>
        <w:tc>
          <w:tcPr>
            <w:tcW w:w="1327" w:type="dxa"/>
            <w:vAlign w:val="center"/>
          </w:tcPr>
          <w:p>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0</w:t>
            </w:r>
          </w:p>
        </w:tc>
        <w:tc>
          <w:tcPr>
            <w:tcW w:w="2115" w:type="dxa"/>
            <w:gridSpan w:val="5"/>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7383</w:t>
            </w:r>
          </w:p>
        </w:tc>
        <w:tc>
          <w:tcPr>
            <w:tcW w:w="1081" w:type="dxa"/>
            <w:gridSpan w:val="2"/>
            <w:vAlign w:val="center"/>
          </w:tcPr>
          <w:p>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86085.62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岳阳市卫健委机关</w:t>
            </w:r>
          </w:p>
        </w:tc>
        <w:tc>
          <w:tcPr>
            <w:tcW w:w="129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3772.44</w:t>
            </w:r>
          </w:p>
        </w:tc>
        <w:tc>
          <w:tcPr>
            <w:tcW w:w="1145" w:type="dxa"/>
            <w:tcBorders>
              <w:left w:val="single" w:color="auto" w:sz="4" w:space="0"/>
            </w:tcBorders>
            <w:vAlign w:val="center"/>
          </w:tcPr>
          <w:p>
            <w:pPr>
              <w:autoSpaceDN w:val="0"/>
              <w:spacing w:line="32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933.58</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2838.86</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081"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autoSpaceDN w:val="0"/>
              <w:spacing w:line="320" w:lineRule="exact"/>
              <w:jc w:val="both"/>
              <w:textAlignment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岳阳市一医院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315</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210</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105</w:t>
            </w:r>
          </w:p>
        </w:tc>
        <w:tc>
          <w:tcPr>
            <w:tcW w:w="1081"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0" w:hRule="atLeast"/>
          <w:jc w:val="center"/>
        </w:trPr>
        <w:tc>
          <w:tcPr>
            <w:tcW w:w="1700" w:type="dxa"/>
            <w:gridSpan w:val="3"/>
            <w:vAlign w:val="center"/>
          </w:tcPr>
          <w:p>
            <w:pPr>
              <w:autoSpaceDN w:val="0"/>
              <w:spacing w:line="320" w:lineRule="exact"/>
              <w:jc w:val="both"/>
              <w:textAlignment w:val="center"/>
              <w:rPr>
                <w:rFonts w:hint="eastAsia" w:ascii="仿宋" w:hAnsi="仿宋" w:eastAsia="仿宋" w:cs="仿宋"/>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岳阳市二医院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83853.53</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1485.13</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081"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82368.40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autoSpaceDN w:val="0"/>
              <w:spacing w:line="320" w:lineRule="exact"/>
              <w:jc w:val="both"/>
              <w:textAlignment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4、岳阳市三医院</w:t>
            </w:r>
          </w:p>
        </w:tc>
        <w:tc>
          <w:tcPr>
            <w:tcW w:w="1290" w:type="dxa"/>
            <w:tcBorders>
              <w:right w:val="single" w:color="auto" w:sz="4" w:space="0"/>
            </w:tcBorders>
            <w:vAlign w:val="center"/>
          </w:tcPr>
          <w:p>
            <w:pPr>
              <w:autoSpaceDN w:val="0"/>
              <w:spacing w:line="320" w:lineRule="exact"/>
              <w:ind w:firstLine="240" w:firstLineChars="10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455</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080" w:type="dxa"/>
            <w:gridSpan w:val="2"/>
            <w:vAlign w:val="center"/>
          </w:tcPr>
          <w:p>
            <w:pPr>
              <w:autoSpaceDN w:val="0"/>
              <w:spacing w:line="320" w:lineRule="exact"/>
              <w:ind w:firstLine="240" w:firstLineChars="10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450</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w:t>
            </w:r>
          </w:p>
        </w:tc>
        <w:tc>
          <w:tcPr>
            <w:tcW w:w="1081"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5、岳阳市中医院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599.44</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472.84</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126.6</w:t>
            </w:r>
          </w:p>
        </w:tc>
        <w:tc>
          <w:tcPr>
            <w:tcW w:w="1081"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5"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6、岳阳市妇幼保健院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2247.61</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rPr>
              <w:t>125.55</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1358.67</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352</w:t>
            </w:r>
          </w:p>
        </w:tc>
        <w:tc>
          <w:tcPr>
            <w:tcW w:w="1081"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rPr>
              <w:t>411.39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7、岳阳市疾控中心</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7662.42</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4382.99</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081" w:type="dxa"/>
            <w:gridSpan w:val="2"/>
            <w:vAlign w:val="center"/>
          </w:tcPr>
          <w:p>
            <w:pPr>
              <w:autoSpaceDN w:val="0"/>
              <w:spacing w:line="32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3279.43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8、岳阳市中心血站</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7245.65</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424.85</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ind w:firstLine="480" w:firstLineChars="20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val="en-US" w:eastAsia="zh-CN"/>
              </w:rPr>
              <w:t>794.40</w:t>
            </w:r>
          </w:p>
        </w:tc>
        <w:tc>
          <w:tcPr>
            <w:tcW w:w="1081"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9、岳阳市卫计综合监督员执法局</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778.70</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127.19</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651.51</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2115" w:type="dxa"/>
            <w:gridSpan w:val="5"/>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1081"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738" w:type="dxa"/>
            <w:gridSpan w:val="15"/>
            <w:vAlign w:val="center"/>
          </w:tcPr>
          <w:p>
            <w:pPr>
              <w:autoSpaceDN w:val="0"/>
              <w:spacing w:line="320" w:lineRule="exact"/>
              <w:jc w:val="center"/>
              <w:textAlignment w:val="center"/>
              <w:rPr>
                <w:rFonts w:hint="eastAsia" w:ascii="仿宋_GB2312" w:hAnsi="仿宋_GB2312" w:eastAsia="仿宋_GB2312" w:cs="仿宋_GB2312"/>
                <w:b/>
                <w:bCs/>
                <w:color w:val="000000"/>
                <w:sz w:val="24"/>
              </w:rPr>
            </w:pPr>
          </w:p>
          <w:p>
            <w:pPr>
              <w:autoSpaceDN w:val="0"/>
              <w:spacing w:line="320" w:lineRule="exact"/>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部门（单位）年度支出和结余情况（万元）</w:t>
            </w:r>
          </w:p>
          <w:p>
            <w:pPr>
              <w:autoSpaceDN w:val="0"/>
              <w:spacing w:line="320" w:lineRule="exact"/>
              <w:jc w:val="center"/>
              <w:textAlignment w:val="center"/>
              <w:rPr>
                <w:rFonts w:hint="eastAsia" w:ascii="仿宋_GB2312" w:hAnsi="仿宋_GB2312" w:eastAsia="仿宋_GB2312" w:cs="仿宋_GB2312"/>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129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支出合计</w:t>
            </w:r>
          </w:p>
        </w:tc>
        <w:tc>
          <w:tcPr>
            <w:tcW w:w="5383"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c>
          <w:tcPr>
            <w:tcW w:w="1365" w:type="dxa"/>
            <w:gridSpan w:val="3"/>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24"/>
                <w:szCs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4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基本支出</w:t>
            </w:r>
          </w:p>
        </w:tc>
        <w:tc>
          <w:tcPr>
            <w:tcW w:w="2407" w:type="dxa"/>
            <w:gridSpan w:val="3"/>
            <w:tcBorders>
              <w:top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c>
          <w:tcPr>
            <w:tcW w:w="1005" w:type="dxa"/>
            <w:gridSpan w:val="3"/>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项目支出</w:t>
            </w:r>
          </w:p>
        </w:tc>
        <w:tc>
          <w:tcPr>
            <w:tcW w:w="1110"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当年结余</w:t>
            </w:r>
          </w:p>
        </w:tc>
        <w:tc>
          <w:tcPr>
            <w:tcW w:w="1081"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24"/>
                <w:szCs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45"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人员支出</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公用支出</w:t>
            </w:r>
          </w:p>
        </w:tc>
        <w:tc>
          <w:tcPr>
            <w:tcW w:w="1005" w:type="dxa"/>
            <w:gridSpan w:val="3"/>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10"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081" w:type="dxa"/>
            <w:gridSpan w:val="2"/>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2" w:hRule="atLeast"/>
          <w:jc w:val="center"/>
        </w:trPr>
        <w:tc>
          <w:tcPr>
            <w:tcW w:w="1700" w:type="dxa"/>
            <w:gridSpan w:val="3"/>
            <w:vAlign w:val="center"/>
          </w:tcPr>
          <w:p>
            <w:pPr>
              <w:spacing w:line="320" w:lineRule="exact"/>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汇总</w:t>
            </w:r>
          </w:p>
        </w:tc>
        <w:tc>
          <w:tcPr>
            <w:tcW w:w="1290" w:type="dxa"/>
            <w:tcBorders>
              <w:right w:val="single" w:color="auto" w:sz="4" w:space="0"/>
            </w:tcBorders>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105393.19</w:t>
            </w:r>
          </w:p>
        </w:tc>
        <w:tc>
          <w:tcPr>
            <w:tcW w:w="1145" w:type="dxa"/>
            <w:tcBorders>
              <w:left w:val="single" w:color="auto" w:sz="4" w:space="0"/>
            </w:tcBorders>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98999.11</w:t>
            </w:r>
          </w:p>
        </w:tc>
        <w:tc>
          <w:tcPr>
            <w:tcW w:w="1080" w:type="dxa"/>
            <w:gridSpan w:val="2"/>
            <w:vAlign w:val="center"/>
          </w:tcPr>
          <w:p>
            <w:pPr>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16144</w:t>
            </w:r>
          </w:p>
        </w:tc>
        <w:tc>
          <w:tcPr>
            <w:tcW w:w="1327" w:type="dxa"/>
            <w:vAlign w:val="center"/>
          </w:tcPr>
          <w:p>
            <w:pPr>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82855.11</w:t>
            </w:r>
          </w:p>
        </w:tc>
        <w:tc>
          <w:tcPr>
            <w:tcW w:w="1005" w:type="dxa"/>
            <w:gridSpan w:val="3"/>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6394.58</w:t>
            </w:r>
          </w:p>
        </w:tc>
        <w:tc>
          <w:tcPr>
            <w:tcW w:w="1110" w:type="dxa"/>
            <w:gridSpan w:val="2"/>
            <w:tcBorders>
              <w:right w:val="single" w:color="auto" w:sz="4" w:space="0"/>
            </w:tcBorders>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1905.33</w:t>
            </w:r>
          </w:p>
        </w:tc>
        <w:tc>
          <w:tcPr>
            <w:tcW w:w="1081" w:type="dxa"/>
            <w:gridSpan w:val="2"/>
            <w:tcBorders>
              <w:left w:val="single" w:color="auto" w:sz="4" w:space="0"/>
            </w:tcBorders>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2624.63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1、市卫健委机关</w:t>
            </w:r>
          </w:p>
        </w:tc>
        <w:tc>
          <w:tcPr>
            <w:tcW w:w="1290" w:type="dxa"/>
            <w:tcBorders>
              <w:right w:val="single" w:color="auto" w:sz="4" w:space="0"/>
            </w:tcBorders>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2924.84</w:t>
            </w:r>
          </w:p>
        </w:tc>
        <w:tc>
          <w:tcPr>
            <w:tcW w:w="1145" w:type="dxa"/>
            <w:tcBorders>
              <w:left w:val="single" w:color="auto" w:sz="4" w:space="0"/>
            </w:tcBorders>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2038.3</w:t>
            </w:r>
          </w:p>
        </w:tc>
        <w:tc>
          <w:tcPr>
            <w:tcW w:w="1080" w:type="dxa"/>
            <w:gridSpan w:val="2"/>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1731.88</w:t>
            </w:r>
          </w:p>
        </w:tc>
        <w:tc>
          <w:tcPr>
            <w:tcW w:w="1327" w:type="dxa"/>
            <w:vAlign w:val="center"/>
          </w:tcPr>
          <w:p>
            <w:pPr>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306.42</w:t>
            </w:r>
          </w:p>
        </w:tc>
        <w:tc>
          <w:tcPr>
            <w:tcW w:w="1005" w:type="dxa"/>
            <w:gridSpan w:val="3"/>
            <w:vAlign w:val="center"/>
          </w:tcPr>
          <w:p>
            <w:pPr>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886.54</w:t>
            </w:r>
          </w:p>
        </w:tc>
        <w:tc>
          <w:tcPr>
            <w:tcW w:w="1110" w:type="dxa"/>
            <w:gridSpan w:val="2"/>
            <w:tcBorders>
              <w:right w:val="single" w:color="auto" w:sz="4" w:space="0"/>
            </w:tcBorders>
            <w:vAlign w:val="center"/>
          </w:tcPr>
          <w:p>
            <w:pPr>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-85.98</w:t>
            </w:r>
          </w:p>
        </w:tc>
        <w:tc>
          <w:tcPr>
            <w:tcW w:w="1081" w:type="dxa"/>
            <w:gridSpan w:val="2"/>
            <w:tcBorders>
              <w:left w:val="single" w:color="auto" w:sz="4" w:space="0"/>
            </w:tcBorders>
            <w:vAlign w:val="center"/>
          </w:tcPr>
          <w:p>
            <w:pPr>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2、岳阳市一医院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315</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210</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210</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005"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105</w:t>
            </w:r>
          </w:p>
        </w:tc>
        <w:tc>
          <w:tcPr>
            <w:tcW w:w="1110"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081"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3、岳阳市二医院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85178.99</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84423.73</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10651.29</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73772.44</w:t>
            </w:r>
          </w:p>
        </w:tc>
        <w:tc>
          <w:tcPr>
            <w:tcW w:w="1005" w:type="dxa"/>
            <w:gridSpan w:val="3"/>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755.26</w:t>
            </w:r>
          </w:p>
        </w:tc>
        <w:tc>
          <w:tcPr>
            <w:tcW w:w="1110"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081"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00" w:type="dxa"/>
            <w:gridSpan w:val="3"/>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4、岳阳市三医院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455</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432</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432</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005" w:type="dxa"/>
            <w:gridSpan w:val="3"/>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23</w:t>
            </w:r>
          </w:p>
        </w:tc>
        <w:tc>
          <w:tcPr>
            <w:tcW w:w="1110"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081"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5、岳阳市中医院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599.44</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472.84</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107</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365.84</w:t>
            </w:r>
          </w:p>
        </w:tc>
        <w:tc>
          <w:tcPr>
            <w:tcW w:w="1005" w:type="dxa"/>
            <w:gridSpan w:val="3"/>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126.6</w:t>
            </w:r>
          </w:p>
        </w:tc>
        <w:tc>
          <w:tcPr>
            <w:tcW w:w="1110"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081"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6、岳阳市妇幼保健院</w:t>
            </w:r>
          </w:p>
        </w:tc>
        <w:tc>
          <w:tcPr>
            <w:tcW w:w="129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1962.2</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1722.41</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57.28</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1665.13</w:t>
            </w:r>
          </w:p>
        </w:tc>
        <w:tc>
          <w:tcPr>
            <w:tcW w:w="1005" w:type="dxa"/>
            <w:gridSpan w:val="3"/>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239.79</w:t>
            </w:r>
          </w:p>
        </w:tc>
        <w:tc>
          <w:tcPr>
            <w:tcW w:w="1110"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285.4</w:t>
            </w:r>
          </w:p>
        </w:tc>
        <w:tc>
          <w:tcPr>
            <w:tcW w:w="1081"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7、岳阳市疾控中心</w:t>
            </w:r>
          </w:p>
        </w:tc>
        <w:tc>
          <w:tcPr>
            <w:tcW w:w="129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60</w:t>
            </w:r>
            <w:r>
              <w:rPr>
                <w:rFonts w:hint="eastAsia" w:ascii="仿宋" w:hAnsi="仿宋" w:eastAsia="仿宋" w:cs="仿宋"/>
                <w:color w:val="000000"/>
                <w:sz w:val="24"/>
                <w:szCs w:val="24"/>
                <w:highlight w:val="none"/>
                <w:lang w:val="en-US" w:eastAsia="zh-CN"/>
              </w:rPr>
              <w:t>93.98</w:t>
            </w:r>
          </w:p>
        </w:tc>
        <w:tc>
          <w:tcPr>
            <w:tcW w:w="1145" w:type="dxa"/>
            <w:tcBorders>
              <w:left w:val="single" w:color="auto" w:sz="4" w:space="0"/>
            </w:tcBorders>
            <w:vAlign w:val="center"/>
          </w:tcPr>
          <w:p>
            <w:pPr>
              <w:autoSpaceDN w:val="0"/>
              <w:spacing w:line="32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23</w:t>
            </w:r>
            <w:r>
              <w:rPr>
                <w:rFonts w:hint="eastAsia" w:ascii="仿宋" w:hAnsi="仿宋" w:eastAsia="仿宋" w:cs="仿宋"/>
                <w:color w:val="000000"/>
                <w:sz w:val="24"/>
                <w:szCs w:val="24"/>
                <w:highlight w:val="none"/>
                <w:lang w:val="en-US" w:eastAsia="zh-CN"/>
              </w:rPr>
              <w:t>64.87</w:t>
            </w:r>
          </w:p>
        </w:tc>
        <w:tc>
          <w:tcPr>
            <w:tcW w:w="1080" w:type="dxa"/>
            <w:gridSpan w:val="2"/>
            <w:vAlign w:val="center"/>
          </w:tcPr>
          <w:p>
            <w:pPr>
              <w:autoSpaceDN w:val="0"/>
              <w:spacing w:line="32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933.52</w:t>
            </w:r>
          </w:p>
        </w:tc>
        <w:tc>
          <w:tcPr>
            <w:tcW w:w="1327" w:type="dxa"/>
            <w:vAlign w:val="center"/>
          </w:tcPr>
          <w:p>
            <w:pPr>
              <w:autoSpaceDN w:val="0"/>
              <w:spacing w:line="32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1431.35</w:t>
            </w:r>
          </w:p>
        </w:tc>
        <w:tc>
          <w:tcPr>
            <w:tcW w:w="1005" w:type="dxa"/>
            <w:gridSpan w:val="3"/>
            <w:vAlign w:val="center"/>
          </w:tcPr>
          <w:p>
            <w:pPr>
              <w:autoSpaceDN w:val="0"/>
              <w:spacing w:line="32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3729.11</w:t>
            </w:r>
          </w:p>
        </w:tc>
        <w:tc>
          <w:tcPr>
            <w:tcW w:w="1110" w:type="dxa"/>
            <w:gridSpan w:val="2"/>
            <w:tcBorders>
              <w:right w:val="single" w:color="auto" w:sz="4" w:space="0"/>
            </w:tcBorders>
            <w:vAlign w:val="center"/>
          </w:tcPr>
          <w:p>
            <w:pPr>
              <w:autoSpaceDN w:val="0"/>
              <w:spacing w:line="32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1672.99</w:t>
            </w:r>
          </w:p>
        </w:tc>
        <w:tc>
          <w:tcPr>
            <w:tcW w:w="1081" w:type="dxa"/>
            <w:gridSpan w:val="2"/>
            <w:tcBorders>
              <w:left w:val="single" w:color="auto" w:sz="4" w:space="0"/>
            </w:tcBorders>
            <w:vAlign w:val="center"/>
          </w:tcPr>
          <w:p>
            <w:pPr>
              <w:autoSpaceDN w:val="0"/>
              <w:spacing w:line="32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672.99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8、岳阳市中心血站</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7189.58</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val="en-US" w:eastAsia="zh-CN"/>
              </w:rPr>
              <w:t>689.3</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1518</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5171.3</w:t>
            </w:r>
          </w:p>
        </w:tc>
        <w:tc>
          <w:tcPr>
            <w:tcW w:w="1005" w:type="dxa"/>
            <w:gridSpan w:val="3"/>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500.28</w:t>
            </w:r>
          </w:p>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p>
        </w:tc>
        <w:tc>
          <w:tcPr>
            <w:tcW w:w="1110"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56.07</w:t>
            </w:r>
          </w:p>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p>
        </w:tc>
        <w:tc>
          <w:tcPr>
            <w:tcW w:w="1081"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9、岳阳市卫计综合监督执法局</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674.66</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645.66</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503.03</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142.63</w:t>
            </w:r>
          </w:p>
        </w:tc>
        <w:tc>
          <w:tcPr>
            <w:tcW w:w="1005" w:type="dxa"/>
            <w:gridSpan w:val="3"/>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29</w:t>
            </w:r>
          </w:p>
        </w:tc>
        <w:tc>
          <w:tcPr>
            <w:tcW w:w="1110"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-23.15</w:t>
            </w:r>
          </w:p>
        </w:tc>
        <w:tc>
          <w:tcPr>
            <w:tcW w:w="1081"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104.04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129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三公经费</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6748" w:type="dxa"/>
            <w:gridSpan w:val="11"/>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24"/>
                <w:szCs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公务接待费</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公务用车运维费</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公务用车购置费</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8" w:hRule="atLeast"/>
          <w:jc w:val="center"/>
        </w:trPr>
        <w:tc>
          <w:tcPr>
            <w:tcW w:w="1700" w:type="dxa"/>
            <w:gridSpan w:val="3"/>
            <w:vAlign w:val="center"/>
          </w:tcPr>
          <w:p>
            <w:pPr>
              <w:spacing w:line="320" w:lineRule="exact"/>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汇总</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277.32</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45.1</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232.22</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1、市卫健委机关</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12.77</w:t>
            </w:r>
          </w:p>
        </w:tc>
        <w:tc>
          <w:tcPr>
            <w:tcW w:w="1145"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2.81</w:t>
            </w:r>
          </w:p>
        </w:tc>
        <w:tc>
          <w:tcPr>
            <w:tcW w:w="1080"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9.96</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2、岳阳市一医院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2.43</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2.43</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3、岳阳市二医院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146.44</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1.44</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145</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4、岳阳市三医院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5、岳阳市中医院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6、岳阳市妇幼保健院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15</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3.78</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11.22</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7、岳阳市疾控中心</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23.67</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2.25</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21.42</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8、岳阳市中心血站</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50.95</w:t>
            </w:r>
          </w:p>
        </w:tc>
        <w:tc>
          <w:tcPr>
            <w:tcW w:w="1145" w:type="dxa"/>
            <w:tcBorders>
              <w:left w:val="single" w:color="auto" w:sz="4" w:space="0"/>
            </w:tcBorders>
            <w:vAlign w:val="center"/>
          </w:tcPr>
          <w:p>
            <w:pPr>
              <w:autoSpaceDN w:val="0"/>
              <w:spacing w:line="320" w:lineRule="exact"/>
              <w:ind w:firstLine="480" w:firstLineChars="200"/>
              <w:jc w:val="both"/>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19.2</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31.</w:t>
            </w:r>
            <w:r>
              <w:rPr>
                <w:rFonts w:hint="eastAsia" w:ascii="仿宋" w:hAnsi="仿宋" w:eastAsia="仿宋" w:cs="仿宋"/>
                <w:color w:val="000000"/>
                <w:sz w:val="24"/>
                <w:szCs w:val="24"/>
                <w:lang w:val="en-US" w:eastAsia="zh-CN"/>
              </w:rPr>
              <w:t>75</w:t>
            </w:r>
          </w:p>
        </w:tc>
        <w:tc>
          <w:tcPr>
            <w:tcW w:w="1327"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5"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9、市卫计综合监督执法局</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14.06</w:t>
            </w:r>
          </w:p>
        </w:tc>
        <w:tc>
          <w:tcPr>
            <w:tcW w:w="114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1.19</w:t>
            </w:r>
          </w:p>
        </w:tc>
        <w:tc>
          <w:tcPr>
            <w:tcW w:w="1080" w:type="dxa"/>
            <w:gridSpan w:val="2"/>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12.87</w:t>
            </w:r>
          </w:p>
        </w:tc>
        <w:tc>
          <w:tcPr>
            <w:tcW w:w="1327"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3196" w:type="dxa"/>
            <w:gridSpan w:val="7"/>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129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固定资产</w:t>
            </w:r>
            <w:r>
              <w:rPr>
                <w:rFonts w:hint="eastAsia" w:ascii="仿宋" w:hAnsi="仿宋" w:eastAsia="仿宋" w:cs="仿宋"/>
                <w:color w:val="000000"/>
                <w:sz w:val="24"/>
                <w:szCs w:val="24"/>
                <w:lang w:val="en-US" w:eastAsia="zh-CN"/>
              </w:rPr>
              <w:t xml:space="preserve">  </w:t>
            </w:r>
          </w:p>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5869" w:type="dxa"/>
            <w:gridSpan w:val="10"/>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其中：</w:t>
            </w:r>
          </w:p>
        </w:tc>
        <w:tc>
          <w:tcPr>
            <w:tcW w:w="879" w:type="dxa"/>
            <w:vMerge w:val="restart"/>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 w:hAnsi="仿宋" w:eastAsia="仿宋" w:cs="仿宋"/>
                <w:sz w:val="24"/>
                <w:szCs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出租固定资产</w:t>
            </w:r>
          </w:p>
        </w:tc>
        <w:tc>
          <w:tcPr>
            <w:tcW w:w="879"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0" w:hRule="atLeast"/>
          <w:jc w:val="center"/>
        </w:trPr>
        <w:tc>
          <w:tcPr>
            <w:tcW w:w="1700" w:type="dxa"/>
            <w:gridSpan w:val="3"/>
            <w:vAlign w:val="center"/>
          </w:tcPr>
          <w:p>
            <w:pPr>
              <w:spacing w:line="320" w:lineRule="exact"/>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汇总</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732834.35</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732834.35</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0"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1、市卫健委机关</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1738.77</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1738.77</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5"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2、岳阳市一医院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86924</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86924</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0"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3、岳阳市二医院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570418.85</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570418.85</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4、岳阳市三医院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12530</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12530</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0"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5、岳阳市中医院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32740</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32740</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0"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6、岳阳市妇幼保健院</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17238.2</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17238.2041</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0"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7、岳阳市疾控中心</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2609.39</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2609.39</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0"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8、岳阳市中心血站</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8510.02</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8510.02</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c>
          <w:tcPr>
            <w:tcW w:w="879" w:type="dxa"/>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0" w:hRule="atLeast"/>
          <w:jc w:val="center"/>
        </w:trPr>
        <w:tc>
          <w:tcPr>
            <w:tcW w:w="1700" w:type="dxa"/>
            <w:gridSpan w:val="3"/>
            <w:vAlign w:val="center"/>
          </w:tcPr>
          <w:p>
            <w:pPr>
              <w:spacing w:line="32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9、市卫计综合监督执法局</w:t>
            </w:r>
          </w:p>
        </w:tc>
        <w:tc>
          <w:tcPr>
            <w:tcW w:w="129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125.12</w:t>
            </w:r>
          </w:p>
        </w:tc>
        <w:tc>
          <w:tcPr>
            <w:tcW w:w="222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125.12</w:t>
            </w:r>
          </w:p>
        </w:tc>
        <w:tc>
          <w:tcPr>
            <w:tcW w:w="3644" w:type="dxa"/>
            <w:gridSpan w:val="7"/>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c>
          <w:tcPr>
            <w:tcW w:w="879" w:type="dxa"/>
            <w:vAlign w:val="center"/>
          </w:tcPr>
          <w:p>
            <w:pPr>
              <w:autoSpaceDN w:val="0"/>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738" w:type="dxa"/>
            <w:gridSpan w:val="15"/>
            <w:vAlign w:val="center"/>
          </w:tcPr>
          <w:p>
            <w:pPr>
              <w:autoSpaceDN w:val="0"/>
              <w:spacing w:line="320" w:lineRule="exact"/>
              <w:jc w:val="center"/>
              <w:textAlignment w:val="center"/>
              <w:rPr>
                <w:rFonts w:hint="eastAsia" w:ascii="黑体" w:hAnsi="黑体" w:eastAsia="黑体" w:cs="黑体"/>
                <w:color w:val="000000"/>
                <w:sz w:val="28"/>
                <w:szCs w:val="28"/>
              </w:rPr>
            </w:pPr>
          </w:p>
          <w:p>
            <w:pPr>
              <w:numPr>
                <w:ilvl w:val="0"/>
                <w:numId w:val="2"/>
              </w:numPr>
              <w:autoSpaceDN w:val="0"/>
              <w:spacing w:line="320" w:lineRule="exact"/>
              <w:ind w:left="210" w:leftChars="0" w:firstLineChars="0"/>
              <w:jc w:val="center"/>
              <w:textAlignment w:val="center"/>
              <w:rPr>
                <w:rFonts w:hint="eastAsia" w:ascii="黑体" w:hAnsi="黑体" w:eastAsia="黑体" w:cs="黑体"/>
                <w:color w:val="000000"/>
                <w:sz w:val="28"/>
                <w:szCs w:val="28"/>
              </w:rPr>
            </w:pPr>
            <w:r>
              <w:rPr>
                <w:rFonts w:hint="eastAsia" w:ascii="黑体" w:hAnsi="黑体" w:eastAsia="黑体" w:cs="黑体"/>
                <w:color w:val="000000"/>
                <w:sz w:val="28"/>
                <w:szCs w:val="28"/>
              </w:rPr>
              <w:t>部门（单位）整体支出绩效自评情况</w:t>
            </w:r>
          </w:p>
          <w:p>
            <w:pPr>
              <w:numPr>
                <w:ilvl w:val="0"/>
                <w:numId w:val="0"/>
              </w:numPr>
              <w:autoSpaceDN w:val="0"/>
              <w:spacing w:line="320" w:lineRule="exact"/>
              <w:jc w:val="both"/>
              <w:textAlignment w:val="center"/>
              <w:rPr>
                <w:rFonts w:hint="eastAsia" w:ascii="黑体" w:hAnsi="黑体" w:eastAsia="黑体" w:cs="黑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23"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6"/>
            <w:vAlign w:val="center"/>
          </w:tcPr>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目标1：切实做好新冠肺炎疫情防控工作，确保全市人民生命健康安全。</w:t>
            </w:r>
          </w:p>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w:t>
            </w:r>
          </w:p>
          <w:p>
            <w:pPr>
              <w:autoSpaceDN w:val="0"/>
              <w:spacing w:line="320" w:lineRule="exact"/>
              <w:jc w:val="left"/>
              <w:textAlignment w:val="center"/>
              <w:rPr>
                <w:rFonts w:hint="eastAsia" w:ascii="仿宋" w:hAnsi="仿宋" w:eastAsia="仿宋" w:cs="仿宋"/>
                <w:b w:val="0"/>
                <w:bCs/>
                <w:sz w:val="24"/>
                <w:szCs w:val="24"/>
                <w:lang w:val="en-US" w:eastAsia="zh-CN"/>
              </w:rPr>
            </w:pPr>
          </w:p>
          <w:p>
            <w:pPr>
              <w:autoSpaceDN w:val="0"/>
              <w:spacing w:line="320" w:lineRule="exact"/>
              <w:jc w:val="left"/>
              <w:textAlignment w:val="center"/>
              <w:rPr>
                <w:rFonts w:hint="eastAsia" w:ascii="仿宋" w:hAnsi="仿宋" w:eastAsia="仿宋" w:cs="仿宋"/>
                <w:b w:val="0"/>
                <w:bCs/>
                <w:sz w:val="24"/>
                <w:szCs w:val="24"/>
                <w:lang w:val="en-US" w:eastAsia="zh-CN"/>
              </w:rPr>
            </w:pPr>
          </w:p>
          <w:p>
            <w:pPr>
              <w:autoSpaceDN w:val="0"/>
              <w:spacing w:line="320" w:lineRule="exact"/>
              <w:jc w:val="left"/>
              <w:textAlignment w:val="center"/>
              <w:rPr>
                <w:rFonts w:hint="default" w:ascii="仿宋" w:hAnsi="仿宋" w:eastAsia="仿宋" w:cs="仿宋"/>
                <w:b w:val="0"/>
                <w:bCs/>
                <w:sz w:val="24"/>
                <w:szCs w:val="24"/>
                <w:lang w:val="en-US" w:eastAsia="zh-CN"/>
              </w:rPr>
            </w:pPr>
          </w:p>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目标2：持续深化卫生健康服务供给侧结构性改革。推进分级诊疗；加强公立医院管理。</w:t>
            </w:r>
          </w:p>
          <w:p>
            <w:pPr>
              <w:autoSpaceDN w:val="0"/>
              <w:spacing w:line="320" w:lineRule="exact"/>
              <w:jc w:val="left"/>
              <w:textAlignment w:val="center"/>
              <w:rPr>
                <w:rFonts w:hint="eastAsia" w:ascii="仿宋" w:hAnsi="仿宋" w:eastAsia="仿宋" w:cs="仿宋"/>
                <w:b w:val="0"/>
                <w:bCs/>
                <w:sz w:val="24"/>
                <w:szCs w:val="24"/>
                <w:lang w:val="en-US" w:eastAsia="zh-CN"/>
              </w:rPr>
            </w:pPr>
          </w:p>
          <w:p>
            <w:pPr>
              <w:autoSpaceDN w:val="0"/>
              <w:spacing w:line="320" w:lineRule="exact"/>
              <w:jc w:val="left"/>
              <w:textAlignment w:val="center"/>
              <w:rPr>
                <w:rFonts w:hint="eastAsia" w:ascii="仿宋" w:hAnsi="仿宋" w:eastAsia="仿宋" w:cs="仿宋"/>
                <w:b w:val="0"/>
                <w:bCs/>
                <w:sz w:val="24"/>
                <w:szCs w:val="24"/>
                <w:lang w:val="en-US" w:eastAsia="zh-CN"/>
              </w:rPr>
            </w:pPr>
          </w:p>
          <w:p>
            <w:pPr>
              <w:autoSpaceDN w:val="0"/>
              <w:spacing w:line="320" w:lineRule="exact"/>
              <w:jc w:val="left"/>
              <w:textAlignment w:val="center"/>
              <w:rPr>
                <w:rFonts w:hint="eastAsia" w:ascii="仿宋" w:hAnsi="仿宋" w:eastAsia="仿宋" w:cs="仿宋"/>
                <w:b w:val="0"/>
                <w:bCs/>
                <w:sz w:val="24"/>
                <w:szCs w:val="24"/>
                <w:lang w:val="en-US" w:eastAsia="zh-CN"/>
              </w:rPr>
            </w:pPr>
          </w:p>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目标3：</w:t>
            </w:r>
            <w:r>
              <w:rPr>
                <w:rFonts w:hint="eastAsia" w:ascii="仿宋" w:hAnsi="仿宋" w:eastAsia="仿宋" w:cs="仿宋"/>
                <w:b w:val="0"/>
                <w:bCs/>
                <w:sz w:val="24"/>
                <w:szCs w:val="24"/>
                <w:lang w:val="en-US" w:eastAsia="zh-CN"/>
              </w:rPr>
              <w:t>健康扶贫实行“回头查、回头看、回头改”和“挂牌督战”，力求完美收官。</w:t>
            </w:r>
          </w:p>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w:t>
            </w:r>
          </w:p>
          <w:p>
            <w:pPr>
              <w:autoSpaceDN w:val="0"/>
              <w:spacing w:line="320" w:lineRule="exact"/>
              <w:jc w:val="left"/>
              <w:textAlignment w:val="center"/>
              <w:rPr>
                <w:rFonts w:hint="eastAsia" w:ascii="仿宋" w:hAnsi="仿宋" w:eastAsia="仿宋" w:cs="仿宋"/>
                <w:b w:val="0"/>
                <w:bCs/>
                <w:sz w:val="24"/>
                <w:szCs w:val="24"/>
                <w:lang w:val="en-US" w:eastAsia="zh-CN"/>
              </w:rPr>
            </w:pPr>
          </w:p>
          <w:p>
            <w:pPr>
              <w:autoSpaceDN w:val="0"/>
              <w:spacing w:line="320" w:lineRule="exact"/>
              <w:jc w:val="left"/>
              <w:textAlignment w:val="center"/>
              <w:rPr>
                <w:rFonts w:hint="default" w:ascii="仿宋" w:hAnsi="仿宋" w:eastAsia="仿宋" w:cs="仿宋"/>
                <w:b w:val="0"/>
                <w:bCs/>
                <w:sz w:val="24"/>
                <w:szCs w:val="24"/>
                <w:lang w:val="en-US" w:eastAsia="zh-CN"/>
              </w:rPr>
            </w:pPr>
          </w:p>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目标4：扎实做好公共卫生和重大疾病防控工作。为群众提供14类基本公共卫生服务，完善疾病预防控制体系和保障机制。</w:t>
            </w:r>
          </w:p>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w:t>
            </w:r>
          </w:p>
          <w:p>
            <w:pPr>
              <w:autoSpaceDN w:val="0"/>
              <w:spacing w:line="320" w:lineRule="exact"/>
              <w:jc w:val="left"/>
              <w:textAlignment w:val="center"/>
              <w:rPr>
                <w:rFonts w:hint="eastAsia" w:ascii="仿宋" w:hAnsi="仿宋" w:eastAsia="仿宋" w:cs="仿宋"/>
                <w:b w:val="0"/>
                <w:bCs/>
                <w:sz w:val="24"/>
                <w:szCs w:val="24"/>
                <w:lang w:val="en-US" w:eastAsia="zh-CN"/>
              </w:rPr>
            </w:pPr>
          </w:p>
          <w:p>
            <w:pPr>
              <w:autoSpaceDN w:val="0"/>
              <w:spacing w:line="320" w:lineRule="exact"/>
              <w:jc w:val="left"/>
              <w:textAlignment w:val="center"/>
              <w:rPr>
                <w:rFonts w:hint="default" w:ascii="仿宋" w:hAnsi="仿宋" w:eastAsia="仿宋" w:cs="仿宋"/>
                <w:b w:val="0"/>
                <w:bCs/>
                <w:sz w:val="24"/>
                <w:szCs w:val="24"/>
                <w:lang w:val="en-US" w:eastAsia="zh-CN"/>
              </w:rPr>
            </w:pPr>
          </w:p>
          <w:p>
            <w:p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目标</w:t>
            </w:r>
            <w:r>
              <w:rPr>
                <w:rFonts w:hint="eastAsia" w:ascii="仿宋" w:hAnsi="仿宋" w:eastAsia="仿宋" w:cs="仿宋"/>
                <w:b w:val="0"/>
                <w:bCs/>
                <w:sz w:val="24"/>
                <w:szCs w:val="24"/>
                <w:lang w:val="en-US" w:eastAsia="zh-CN"/>
              </w:rPr>
              <w:t>5：增强优质医疗服务资源供给能力。打造一批在全省有影响力的专科（技术）品牌；推动构建网格化、整合型医疗服务模式。</w:t>
            </w:r>
          </w:p>
          <w:p>
            <w:pPr>
              <w:autoSpaceDN w:val="0"/>
              <w:spacing w:line="320" w:lineRule="exact"/>
              <w:jc w:val="left"/>
              <w:textAlignment w:val="center"/>
              <w:rPr>
                <w:rFonts w:hint="eastAsia" w:ascii="仿宋" w:hAnsi="仿宋" w:eastAsia="仿宋" w:cs="仿宋"/>
                <w:b w:val="0"/>
                <w:bCs/>
                <w:sz w:val="24"/>
                <w:szCs w:val="24"/>
                <w:lang w:val="en-US" w:eastAsia="zh-CN"/>
              </w:rPr>
            </w:pPr>
          </w:p>
        </w:tc>
        <w:tc>
          <w:tcPr>
            <w:tcW w:w="4523" w:type="dxa"/>
            <w:gridSpan w:val="8"/>
            <w:vAlign w:val="center"/>
          </w:tcPr>
          <w:p>
            <w:pPr>
              <w:autoSpaceDN w:val="0"/>
              <w:spacing w:line="320" w:lineRule="exact"/>
              <w:jc w:val="left"/>
              <w:textAlignment w:val="center"/>
              <w:rPr>
                <w:rFonts w:hint="eastAsia" w:ascii="仿宋" w:hAnsi="仿宋" w:eastAsia="仿宋" w:cs="仿宋"/>
                <w:b w:val="0"/>
                <w:bCs/>
                <w:sz w:val="24"/>
                <w:szCs w:val="24"/>
                <w:lang w:val="en-US" w:eastAsia="zh-CN"/>
              </w:rPr>
            </w:pPr>
          </w:p>
          <w:p>
            <w:pPr>
              <w:numPr>
                <w:ilvl w:val="0"/>
                <w:numId w:val="3"/>
              </w:numPr>
              <w:autoSpaceDN w:val="0"/>
              <w:spacing w:line="320" w:lineRule="exact"/>
              <w:ind w:firstLine="480" w:firstLineChars="200"/>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全市累计报告确诊病例156例，治愈率99.3%，51天实现所有确诊病例清零，截至元月3日，连续319天无新增病例。</w:t>
            </w:r>
            <w:r>
              <w:rPr>
                <w:rFonts w:hint="eastAsia" w:ascii="仿宋" w:hAnsi="仿宋" w:eastAsia="仿宋" w:cs="仿宋"/>
                <w:b w:val="0"/>
                <w:bCs/>
                <w:sz w:val="24"/>
                <w:szCs w:val="24"/>
                <w:lang w:val="zh-CN" w:eastAsia="zh-CN"/>
              </w:rPr>
              <w:t>严格常态化防控工作，</w:t>
            </w:r>
            <w:r>
              <w:rPr>
                <w:rFonts w:hint="eastAsia" w:ascii="仿宋" w:hAnsi="仿宋" w:eastAsia="仿宋" w:cs="仿宋"/>
                <w:b w:val="0"/>
                <w:bCs/>
                <w:sz w:val="24"/>
                <w:szCs w:val="24"/>
                <w:lang w:val="en-US" w:eastAsia="zh-CN"/>
              </w:rPr>
              <w:t>全市核酸检测能力、监测预警能力、应急保障能力得到显著提升，防疫物资实行实物储备与合同储备相结合，</w:t>
            </w:r>
            <w:r>
              <w:rPr>
                <w:rFonts w:hint="eastAsia" w:ascii="仿宋" w:hAnsi="仿宋" w:eastAsia="仿宋" w:cs="仿宋"/>
                <w:b w:val="0"/>
                <w:bCs/>
                <w:sz w:val="24"/>
                <w:szCs w:val="24"/>
                <w:lang w:val="zh-CN" w:eastAsia="zh-CN"/>
              </w:rPr>
              <w:t>重要医用防护物资动态平衡。强化院感防控，</w:t>
            </w:r>
            <w:r>
              <w:rPr>
                <w:rFonts w:hint="eastAsia" w:ascii="仿宋" w:hAnsi="仿宋" w:eastAsia="仿宋" w:cs="仿宋"/>
                <w:b w:val="0"/>
                <w:bCs/>
                <w:sz w:val="24"/>
                <w:szCs w:val="24"/>
                <w:lang w:val="en-US" w:eastAsia="zh-CN"/>
              </w:rPr>
              <w:t>有序推进重点疫苗接种工作。</w:t>
            </w:r>
          </w:p>
          <w:p>
            <w:pPr>
              <w:numPr>
                <w:numId w:val="0"/>
              </w:numPr>
              <w:autoSpaceDN w:val="0"/>
              <w:spacing w:line="320" w:lineRule="exact"/>
              <w:jc w:val="left"/>
              <w:textAlignment w:val="center"/>
              <w:rPr>
                <w:rFonts w:hint="eastAsia" w:ascii="仿宋" w:hAnsi="仿宋" w:eastAsia="仿宋" w:cs="仿宋"/>
                <w:b w:val="0"/>
                <w:bCs/>
                <w:sz w:val="24"/>
                <w:szCs w:val="24"/>
                <w:lang w:val="en-US" w:eastAsia="zh-CN"/>
              </w:rPr>
            </w:pPr>
          </w:p>
          <w:p>
            <w:pPr>
              <w:numPr>
                <w:ilvl w:val="0"/>
                <w:numId w:val="3"/>
              </w:numPr>
              <w:autoSpaceDN w:val="0"/>
              <w:spacing w:line="320" w:lineRule="exact"/>
              <w:ind w:left="0" w:leftChars="0" w:firstLine="480" w:firstLineChars="200"/>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进一步深化改革，市疾控中心完成防治分离，迁建项目完成实验楼建设，综合楼建至第17层；推进医联体建设，下转率较去年同期增长39%。对856项医疗服务价格进行调整，对基层服务价格重新梳理，新增54个单病种支付标准；推行“一件事一次办”、“最多跑一次”改革。</w:t>
            </w:r>
          </w:p>
          <w:p>
            <w:pPr>
              <w:numPr>
                <w:numId w:val="0"/>
              </w:numPr>
              <w:autoSpaceDN w:val="0"/>
              <w:spacing w:line="320" w:lineRule="exact"/>
              <w:ind w:leftChars="200"/>
              <w:jc w:val="left"/>
              <w:textAlignment w:val="center"/>
              <w:rPr>
                <w:rFonts w:hint="eastAsia" w:ascii="仿宋" w:hAnsi="仿宋" w:eastAsia="仿宋" w:cs="仿宋"/>
                <w:b w:val="0"/>
                <w:bCs/>
                <w:sz w:val="24"/>
                <w:szCs w:val="24"/>
                <w:lang w:val="en-US" w:eastAsia="zh-CN"/>
              </w:rPr>
            </w:pPr>
          </w:p>
          <w:p>
            <w:pPr>
              <w:numPr>
                <w:ilvl w:val="0"/>
                <w:numId w:val="3"/>
              </w:numPr>
              <w:autoSpaceDN w:val="0"/>
              <w:spacing w:line="320" w:lineRule="exact"/>
              <w:ind w:left="0" w:leftChars="0" w:firstLine="480" w:firstLineChars="200"/>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贫困人口体检尽检、社保尽保、大病尽救、慢病尽签，全面落实了“三提高、两补贴、一减免、一兜底”等各项政策，全市县域内救治率94.16%，全病种医疗费用报销比例85.23%，驻村帮扶大龙山村实现全部脱贫，为脱贫攻坚战贡献力量。</w:t>
            </w:r>
          </w:p>
          <w:p>
            <w:pPr>
              <w:numPr>
                <w:numId w:val="0"/>
              </w:numPr>
              <w:autoSpaceDN w:val="0"/>
              <w:spacing w:line="320" w:lineRule="exact"/>
              <w:ind w:leftChars="200"/>
              <w:jc w:val="left"/>
              <w:textAlignment w:val="center"/>
              <w:rPr>
                <w:rFonts w:hint="eastAsia" w:ascii="仿宋" w:hAnsi="仿宋" w:eastAsia="仿宋" w:cs="仿宋"/>
                <w:b w:val="0"/>
                <w:bCs/>
                <w:sz w:val="24"/>
                <w:szCs w:val="24"/>
                <w:lang w:val="en-US" w:eastAsia="zh-CN"/>
              </w:rPr>
            </w:pPr>
          </w:p>
          <w:p>
            <w:pPr>
              <w:numPr>
                <w:ilvl w:val="0"/>
                <w:numId w:val="3"/>
              </w:numPr>
              <w:autoSpaceDN w:val="0"/>
              <w:spacing w:line="320" w:lineRule="exact"/>
              <w:ind w:left="0" w:leftChars="0" w:firstLine="480" w:firstLineChars="200"/>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全年累计报告传染病25368例，发病数与去年同期（33470例）比下降24.21%，无甲类传染病报告。艾滋病、结核病实行科学防控，实行免疫规划防、测、查相结合。大力宣传普及健康教育知识，创新模式，推出三屏宣传</w:t>
            </w:r>
            <w:r>
              <w:rPr>
                <w:rFonts w:hint="eastAsia" w:ascii="仿宋" w:hAnsi="仿宋" w:eastAsia="仿宋" w:cs="仿宋"/>
                <w:b w:val="0"/>
                <w:bCs/>
                <w:sz w:val="24"/>
                <w:szCs w:val="24"/>
                <w:lang w:val="en-US" w:eastAsia="zh-CN"/>
              </w:rPr>
              <w:t>。慢性病防控各项指标均达国家要求并居全省前列。</w:t>
            </w:r>
          </w:p>
          <w:p>
            <w:pPr>
              <w:numPr>
                <w:numId w:val="0"/>
              </w:numPr>
              <w:autoSpaceDN w:val="0"/>
              <w:spacing w:line="320" w:lineRule="exact"/>
              <w:ind w:leftChars="200"/>
              <w:jc w:val="left"/>
              <w:textAlignment w:val="center"/>
              <w:rPr>
                <w:rFonts w:hint="eastAsia" w:ascii="仿宋" w:hAnsi="仿宋" w:eastAsia="仿宋" w:cs="仿宋"/>
                <w:b w:val="0"/>
                <w:bCs/>
                <w:sz w:val="24"/>
                <w:szCs w:val="24"/>
                <w:lang w:val="en-US" w:eastAsia="zh-CN"/>
              </w:rPr>
            </w:pPr>
          </w:p>
          <w:p>
            <w:pPr>
              <w:autoSpaceDN w:val="0"/>
              <w:spacing w:line="320" w:lineRule="exact"/>
              <w:ind w:firstLine="480" w:firstLineChars="200"/>
              <w:jc w:val="left"/>
              <w:textAlignment w:val="center"/>
              <w:rPr>
                <w:rFonts w:hint="eastAsia" w:ascii="仿宋_GB2312" w:hAnsi="仿宋_GB2312" w:eastAsia="仿宋_GB2312" w:cs="仿宋_GB2312"/>
                <w:bCs/>
                <w:sz w:val="28"/>
                <w:szCs w:val="28"/>
                <w:lang w:val="en-US" w:eastAsia="zh-CN"/>
              </w:rPr>
            </w:pPr>
            <w:r>
              <w:rPr>
                <w:rFonts w:hint="eastAsia" w:ascii="仿宋" w:hAnsi="仿宋" w:eastAsia="仿宋" w:cs="仿宋"/>
                <w:b w:val="0"/>
                <w:bCs/>
                <w:sz w:val="24"/>
                <w:szCs w:val="24"/>
                <w:lang w:val="en-US" w:eastAsia="zh-CN"/>
              </w:rPr>
              <w:t>五、全方位加强重点专科建设。市二医院呼吸、骨科、康复、护理等四个专科成功通过湖南省临床重点专科复查评估。肿瘤诊治团队入选岳阳市2020年度“科技创新人才团队”。市妇保院开展“一科一品一特色”优质护理，职业文化，产房、妇科、手术室等项目均取得了较好的成效。</w:t>
            </w:r>
          </w:p>
          <w:p>
            <w:pPr>
              <w:autoSpaceDN w:val="0"/>
              <w:spacing w:line="320" w:lineRule="exact"/>
              <w:jc w:val="left"/>
              <w:textAlignment w:val="center"/>
              <w:rPr>
                <w:rFonts w:hint="eastAsia" w:ascii="仿宋" w:hAnsi="仿宋" w:eastAsia="仿宋" w:cs="仿宋"/>
                <w:b w:val="0"/>
                <w:bCs/>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22"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质量指标</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指标1：</w:t>
            </w:r>
            <w:r>
              <w:rPr>
                <w:rFonts w:hint="eastAsia" w:ascii="仿宋" w:hAnsi="仿宋" w:eastAsia="仿宋" w:cs="仿宋"/>
                <w:color w:val="000000"/>
                <w:sz w:val="24"/>
                <w:szCs w:val="24"/>
                <w:lang w:eastAsia="zh-CN"/>
              </w:rPr>
              <w:t>严密做好新冠肺炎</w:t>
            </w:r>
            <w:r>
              <w:rPr>
                <w:rFonts w:hint="eastAsia" w:ascii="仿宋" w:hAnsi="仿宋" w:eastAsia="仿宋" w:cs="仿宋"/>
                <w:color w:val="000000"/>
                <w:sz w:val="24"/>
                <w:szCs w:val="24"/>
              </w:rPr>
              <w:t>疫情防控</w:t>
            </w:r>
            <w:r>
              <w:rPr>
                <w:rFonts w:hint="eastAsia" w:ascii="仿宋" w:hAnsi="仿宋" w:eastAsia="仿宋" w:cs="仿宋"/>
                <w:color w:val="000000"/>
                <w:sz w:val="24"/>
                <w:szCs w:val="24"/>
                <w:lang w:eastAsia="zh-CN"/>
              </w:rPr>
              <w:t>工作，保障全市人民生命健康安全。</w:t>
            </w:r>
          </w:p>
          <w:p>
            <w:pPr>
              <w:autoSpaceDN w:val="0"/>
              <w:spacing w:line="320" w:lineRule="exact"/>
              <w:jc w:val="left"/>
              <w:textAlignment w:val="center"/>
              <w:rPr>
                <w:rFonts w:hint="eastAsia" w:ascii="仿宋" w:hAnsi="仿宋" w:eastAsia="仿宋" w:cs="仿宋"/>
                <w:color w:val="000000"/>
                <w:sz w:val="24"/>
                <w:szCs w:val="24"/>
                <w:lang w:eastAsia="zh-CN"/>
              </w:rPr>
            </w:pPr>
          </w:p>
        </w:tc>
        <w:tc>
          <w:tcPr>
            <w:tcW w:w="2622" w:type="dxa"/>
            <w:gridSpan w:val="5"/>
            <w:vAlign w:val="center"/>
          </w:tcPr>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全市累计报告确诊病例156例，治愈率99.3%，51天实现确诊病例清零，岳阳市卫健委被评为“全省抗疫先进集体”。</w:t>
            </w:r>
          </w:p>
          <w:p>
            <w:pPr>
              <w:autoSpaceDN w:val="0"/>
              <w:spacing w:line="320" w:lineRule="exact"/>
              <w:jc w:val="left"/>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 w:hAnsi="仿宋" w:eastAsia="仿宋" w:cs="仿宋"/>
                <w:sz w:val="24"/>
                <w:szCs w:val="24"/>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指标2：</w:t>
            </w:r>
            <w:r>
              <w:rPr>
                <w:rFonts w:hint="eastAsia" w:ascii="仿宋_GB2312" w:hAnsi="仿宋_GB2312" w:eastAsia="仿宋_GB2312" w:cs="仿宋_GB2312"/>
                <w:color w:val="000000"/>
                <w:sz w:val="24"/>
                <w:szCs w:val="24"/>
              </w:rPr>
              <w:t>医疗质量稳步提升</w:t>
            </w:r>
          </w:p>
        </w:tc>
        <w:tc>
          <w:tcPr>
            <w:tcW w:w="2622" w:type="dxa"/>
            <w:gridSpan w:val="5"/>
            <w:vAlign w:val="center"/>
          </w:tcPr>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五大中心建设扎实推进，进一步落实医疗核心制度、新技术新项目有力开展。开展了粒子植入治疗等30项新技术项目，重点专科建设稳步推进，多学科协作成效显著。</w:t>
            </w:r>
          </w:p>
          <w:p>
            <w:pPr>
              <w:numPr>
                <w:ilvl w:val="0"/>
                <w:numId w:val="0"/>
              </w:numPr>
              <w:autoSpaceDN w:val="0"/>
              <w:spacing w:line="320" w:lineRule="exact"/>
              <w:jc w:val="left"/>
              <w:textAlignment w:val="center"/>
              <w:rPr>
                <w:rFonts w:hint="eastAsia" w:ascii="仿宋" w:hAnsi="仿宋" w:eastAsia="仿宋" w:cs="仿宋"/>
                <w:b w:val="0"/>
                <w:bCs/>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 w:hAnsi="仿宋" w:eastAsia="仿宋" w:cs="仿宋"/>
                <w:sz w:val="24"/>
                <w:szCs w:val="24"/>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b w:val="0"/>
                <w:bCs w:val="0"/>
                <w:color w:val="000000"/>
                <w:sz w:val="24"/>
                <w:szCs w:val="24"/>
                <w:lang w:eastAsia="zh-CN"/>
              </w:rPr>
              <w:t>指标</w:t>
            </w:r>
            <w:r>
              <w:rPr>
                <w:rFonts w:hint="eastAsia" w:ascii="仿宋" w:hAnsi="仿宋" w:eastAsia="仿宋" w:cs="仿宋"/>
                <w:b w:val="0"/>
                <w:bCs w:val="0"/>
                <w:color w:val="000000"/>
                <w:sz w:val="24"/>
                <w:szCs w:val="24"/>
                <w:lang w:val="en-US" w:eastAsia="zh-CN"/>
              </w:rPr>
              <w:t>3：</w:t>
            </w:r>
            <w:r>
              <w:rPr>
                <w:rFonts w:hint="eastAsia" w:ascii="仿宋" w:hAnsi="仿宋" w:eastAsia="仿宋" w:cs="仿宋"/>
                <w:color w:val="000000"/>
                <w:sz w:val="24"/>
                <w:szCs w:val="24"/>
              </w:rPr>
              <w:t>杜绝重大医疗事故</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防范恶性医疗纠纷</w:t>
            </w:r>
          </w:p>
          <w:p>
            <w:pPr>
              <w:autoSpaceDN w:val="0"/>
              <w:spacing w:line="320" w:lineRule="exact"/>
              <w:jc w:val="left"/>
              <w:textAlignment w:val="center"/>
              <w:rPr>
                <w:rFonts w:hint="eastAsia" w:ascii="仿宋" w:hAnsi="仿宋" w:eastAsia="仿宋" w:cs="仿宋"/>
                <w:color w:val="000000"/>
                <w:sz w:val="24"/>
                <w:szCs w:val="24"/>
                <w:lang w:val="en-US" w:eastAsia="zh-CN"/>
              </w:rPr>
            </w:pPr>
          </w:p>
        </w:tc>
        <w:tc>
          <w:tcPr>
            <w:tcW w:w="2622" w:type="dxa"/>
            <w:gridSpan w:val="5"/>
            <w:vAlign w:val="center"/>
          </w:tcPr>
          <w:p>
            <w:pPr>
              <w:autoSpaceDN w:val="0"/>
              <w:spacing w:line="320" w:lineRule="exact"/>
              <w:jc w:val="left"/>
              <w:textAlignment w:val="center"/>
              <w:rPr>
                <w:rFonts w:hint="eastAsia" w:ascii="仿宋" w:hAnsi="仿宋" w:eastAsia="仿宋" w:cs="仿宋"/>
                <w:b/>
                <w:color w:val="000000"/>
                <w:sz w:val="24"/>
                <w:szCs w:val="24"/>
              </w:rPr>
            </w:pPr>
            <w:r>
              <w:rPr>
                <w:rFonts w:hint="eastAsia" w:ascii="仿宋" w:hAnsi="仿宋" w:eastAsia="仿宋" w:cs="仿宋"/>
                <w:color w:val="000000"/>
                <w:sz w:val="24"/>
                <w:szCs w:val="24"/>
              </w:rPr>
              <w:t>重</w:t>
            </w:r>
            <w:r>
              <w:rPr>
                <w:rFonts w:hint="eastAsia" w:ascii="仿宋" w:hAnsi="仿宋" w:eastAsia="仿宋" w:cs="仿宋"/>
                <w:b w:val="0"/>
                <w:bCs w:val="0"/>
                <w:color w:val="000000"/>
                <w:sz w:val="24"/>
                <w:szCs w:val="24"/>
              </w:rPr>
              <w:t>大医疗事故</w:t>
            </w:r>
            <w:r>
              <w:rPr>
                <w:rFonts w:hint="eastAsia" w:ascii="仿宋" w:hAnsi="仿宋" w:eastAsia="仿宋" w:cs="仿宋"/>
                <w:b w:val="0"/>
                <w:bCs w:val="0"/>
                <w:color w:val="000000"/>
                <w:sz w:val="24"/>
                <w:szCs w:val="24"/>
                <w:lang w:val="en-US" w:eastAsia="zh-CN"/>
              </w:rPr>
              <w:t>0起，没有发生</w:t>
            </w:r>
            <w:r>
              <w:rPr>
                <w:rFonts w:hint="eastAsia" w:ascii="仿宋" w:hAnsi="仿宋" w:eastAsia="仿宋" w:cs="仿宋"/>
                <w:b w:val="0"/>
                <w:bCs w:val="0"/>
                <w:color w:val="000000"/>
                <w:sz w:val="24"/>
                <w:szCs w:val="24"/>
              </w:rPr>
              <w:t>恶性医疗纠纷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数量指标</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指标1：艾滋病自愿咨询检测</w:t>
            </w:r>
            <w:r>
              <w:rPr>
                <w:rFonts w:hint="eastAsia" w:ascii="仿宋" w:hAnsi="仿宋" w:eastAsia="仿宋" w:cs="仿宋"/>
                <w:bCs/>
                <w:color w:val="000000"/>
                <w:sz w:val="24"/>
                <w:szCs w:val="24"/>
              </w:rPr>
              <w:t>1000人次</w:t>
            </w:r>
            <w:r>
              <w:rPr>
                <w:rFonts w:hint="eastAsia" w:ascii="仿宋" w:hAnsi="仿宋" w:eastAsia="仿宋" w:cs="仿宋"/>
                <w:bCs/>
                <w:color w:val="000000"/>
                <w:sz w:val="24"/>
                <w:szCs w:val="24"/>
                <w:lang w:eastAsia="zh-CN"/>
              </w:rPr>
              <w:t>，</w:t>
            </w:r>
            <w:r>
              <w:rPr>
                <w:rFonts w:hint="eastAsia" w:ascii="仿宋" w:hAnsi="仿宋" w:eastAsia="仿宋" w:cs="仿宋"/>
                <w:color w:val="000000"/>
                <w:sz w:val="24"/>
                <w:szCs w:val="24"/>
              </w:rPr>
              <w:t>接受艾滋病抗病毒治疗的感染者治疗率</w:t>
            </w:r>
            <w:r>
              <w:rPr>
                <w:rFonts w:hint="eastAsia" w:ascii="仿宋" w:hAnsi="仿宋" w:eastAsia="仿宋" w:cs="仿宋"/>
                <w:bCs/>
                <w:color w:val="000000"/>
                <w:sz w:val="24"/>
                <w:szCs w:val="24"/>
              </w:rPr>
              <w:t>90%</w:t>
            </w:r>
            <w:r>
              <w:rPr>
                <w:rFonts w:hint="eastAsia" w:ascii="仿宋" w:hAnsi="仿宋" w:eastAsia="仿宋" w:cs="仿宋"/>
                <w:bCs/>
                <w:color w:val="000000"/>
                <w:sz w:val="24"/>
                <w:szCs w:val="24"/>
                <w:lang w:eastAsia="zh-CN"/>
              </w:rPr>
              <w:t>；</w:t>
            </w:r>
            <w:r>
              <w:rPr>
                <w:rFonts w:hint="eastAsia" w:ascii="仿宋" w:hAnsi="仿宋" w:eastAsia="仿宋" w:cs="仿宋"/>
                <w:color w:val="000000"/>
                <w:sz w:val="24"/>
                <w:szCs w:val="24"/>
              </w:rPr>
              <w:t>艾滋病病毒载量检测率90%</w:t>
            </w:r>
            <w:r>
              <w:rPr>
                <w:rFonts w:hint="eastAsia" w:ascii="仿宋" w:hAnsi="仿宋" w:eastAsia="仿宋" w:cs="仿宋"/>
                <w:color w:val="000000"/>
                <w:sz w:val="24"/>
                <w:szCs w:val="24"/>
                <w:lang w:eastAsia="zh-CN"/>
              </w:rPr>
              <w:t>，</w:t>
            </w:r>
          </w:p>
          <w:p>
            <w:pPr>
              <w:autoSpaceDN w:val="0"/>
              <w:spacing w:line="320" w:lineRule="exact"/>
              <w:jc w:val="left"/>
              <w:textAlignment w:val="center"/>
              <w:rPr>
                <w:rFonts w:hint="eastAsia" w:ascii="仿宋" w:hAnsi="仿宋" w:eastAsia="仿宋" w:cs="仿宋"/>
                <w:color w:val="000000"/>
                <w:sz w:val="24"/>
                <w:szCs w:val="24"/>
                <w:lang w:eastAsia="zh-CN"/>
              </w:rPr>
            </w:pPr>
          </w:p>
        </w:tc>
        <w:tc>
          <w:tcPr>
            <w:tcW w:w="2622" w:type="dxa"/>
            <w:gridSpan w:val="5"/>
            <w:vAlign w:val="center"/>
          </w:tcPr>
          <w:p>
            <w:pPr>
              <w:autoSpaceDN w:val="0"/>
              <w:spacing w:line="320" w:lineRule="exact"/>
              <w:jc w:val="left"/>
              <w:textAlignment w:val="center"/>
              <w:rPr>
                <w:rFonts w:hint="eastAsia" w:ascii="仿宋" w:hAnsi="仿宋" w:eastAsia="仿宋" w:cs="仿宋"/>
                <w:b/>
                <w:color w:val="000000"/>
                <w:sz w:val="24"/>
                <w:szCs w:val="24"/>
                <w:lang w:eastAsia="zh-CN"/>
              </w:rPr>
            </w:pPr>
            <w:r>
              <w:rPr>
                <w:rFonts w:hint="eastAsia" w:ascii="仿宋" w:hAnsi="仿宋" w:eastAsia="仿宋" w:cs="仿宋"/>
                <w:color w:val="000000"/>
                <w:sz w:val="24"/>
                <w:szCs w:val="24"/>
              </w:rPr>
              <w:t>艾滋病</w:t>
            </w:r>
            <w:r>
              <w:rPr>
                <w:rFonts w:hint="eastAsia" w:ascii="仿宋" w:hAnsi="仿宋" w:eastAsia="仿宋" w:cs="仿宋"/>
                <w:color w:val="000000"/>
                <w:sz w:val="24"/>
                <w:szCs w:val="24"/>
                <w:lang w:eastAsia="zh-CN"/>
              </w:rPr>
              <w:t>人实际</w:t>
            </w:r>
            <w:r>
              <w:rPr>
                <w:rFonts w:hint="eastAsia" w:ascii="仿宋" w:hAnsi="仿宋" w:eastAsia="仿宋" w:cs="仿宋"/>
                <w:color w:val="000000"/>
                <w:sz w:val="24"/>
                <w:szCs w:val="24"/>
              </w:rPr>
              <w:t>咨</w:t>
            </w:r>
            <w:r>
              <w:rPr>
                <w:rFonts w:hint="eastAsia" w:ascii="仿宋" w:hAnsi="仿宋" w:eastAsia="仿宋" w:cs="仿宋"/>
                <w:bCs/>
                <w:color w:val="000000"/>
                <w:sz w:val="24"/>
                <w:szCs w:val="24"/>
              </w:rPr>
              <w:t>询检测1</w:t>
            </w:r>
            <w:r>
              <w:rPr>
                <w:rFonts w:hint="eastAsia" w:ascii="仿宋" w:hAnsi="仿宋" w:eastAsia="仿宋" w:cs="仿宋"/>
                <w:bCs/>
                <w:color w:val="000000"/>
                <w:sz w:val="24"/>
                <w:szCs w:val="24"/>
                <w:lang w:val="en-US" w:eastAsia="zh-CN"/>
              </w:rPr>
              <w:t>004</w:t>
            </w:r>
            <w:r>
              <w:rPr>
                <w:rFonts w:hint="eastAsia" w:ascii="仿宋" w:hAnsi="仿宋" w:eastAsia="仿宋" w:cs="仿宋"/>
                <w:bCs/>
                <w:color w:val="000000"/>
                <w:sz w:val="24"/>
                <w:szCs w:val="24"/>
              </w:rPr>
              <w:t>人次</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接受艾滋病抗病毒治疗的感染者治疗率92.4%</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艾滋病病毒载量检测率9</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sz w:val="21"/>
                <w:szCs w:val="21"/>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snapToGrid w:val="0"/>
                <w:spacing w:val="-4"/>
                <w:kern w:val="0"/>
                <w:sz w:val="24"/>
                <w:szCs w:val="24"/>
              </w:rPr>
            </w:pPr>
            <w:r>
              <w:rPr>
                <w:rFonts w:hint="eastAsia" w:ascii="仿宋" w:hAnsi="仿宋" w:eastAsia="仿宋" w:cs="仿宋"/>
                <w:color w:val="000000"/>
                <w:sz w:val="24"/>
                <w:szCs w:val="24"/>
              </w:rPr>
              <w:t>指标2：血液采集总量1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吨</w:t>
            </w:r>
            <w:r>
              <w:rPr>
                <w:rFonts w:hint="eastAsia" w:ascii="仿宋" w:hAnsi="仿宋" w:eastAsia="仿宋" w:cs="仿宋"/>
                <w:color w:val="000000"/>
                <w:sz w:val="24"/>
                <w:szCs w:val="24"/>
                <w:lang w:eastAsia="zh-CN"/>
              </w:rPr>
              <w:t>，</w:t>
            </w:r>
            <w:r>
              <w:rPr>
                <w:rFonts w:hint="eastAsia" w:ascii="仿宋" w:hAnsi="仿宋" w:eastAsia="仿宋" w:cs="仿宋"/>
                <w:snapToGrid w:val="0"/>
                <w:spacing w:val="-4"/>
                <w:kern w:val="0"/>
                <w:sz w:val="24"/>
                <w:szCs w:val="24"/>
              </w:rPr>
              <w:t>5000人份HLA分型</w:t>
            </w:r>
          </w:p>
          <w:p>
            <w:pPr>
              <w:autoSpaceDN w:val="0"/>
              <w:spacing w:line="320" w:lineRule="exact"/>
              <w:jc w:val="left"/>
              <w:textAlignment w:val="center"/>
              <w:rPr>
                <w:rFonts w:hint="eastAsia" w:ascii="仿宋" w:hAnsi="仿宋" w:eastAsia="仿宋" w:cs="仿宋"/>
                <w:snapToGrid w:val="0"/>
                <w:spacing w:val="-4"/>
                <w:kern w:val="0"/>
                <w:sz w:val="24"/>
                <w:szCs w:val="24"/>
                <w:lang w:eastAsia="zh-CN"/>
              </w:rPr>
            </w:pPr>
          </w:p>
        </w:tc>
        <w:tc>
          <w:tcPr>
            <w:tcW w:w="2622" w:type="dxa"/>
            <w:gridSpan w:val="5"/>
            <w:vAlign w:val="center"/>
          </w:tcPr>
          <w:p>
            <w:pPr>
              <w:autoSpaceDN w:val="0"/>
              <w:spacing w:line="320" w:lineRule="exact"/>
              <w:jc w:val="center"/>
              <w:textAlignment w:val="center"/>
              <w:rPr>
                <w:rFonts w:hint="eastAsia" w:ascii="仿宋" w:hAnsi="仿宋" w:eastAsia="仿宋" w:cs="仿宋"/>
                <w:snapToGrid w:val="0"/>
                <w:spacing w:val="-4"/>
                <w:kern w:val="0"/>
                <w:sz w:val="24"/>
                <w:szCs w:val="24"/>
              </w:rPr>
            </w:pPr>
          </w:p>
          <w:p>
            <w:pPr>
              <w:autoSpaceDN w:val="0"/>
              <w:spacing w:line="320" w:lineRule="exact"/>
              <w:jc w:val="left"/>
              <w:textAlignment w:val="center"/>
              <w:rPr>
                <w:rFonts w:hint="eastAsia" w:ascii="仿宋" w:hAnsi="仿宋" w:eastAsia="仿宋" w:cs="仿宋"/>
                <w:snapToGrid w:val="0"/>
                <w:spacing w:val="-4"/>
                <w:kern w:val="0"/>
                <w:sz w:val="24"/>
                <w:szCs w:val="24"/>
                <w:lang w:val="en-US" w:eastAsia="zh-CN"/>
              </w:rPr>
            </w:pPr>
            <w:r>
              <w:rPr>
                <w:rFonts w:hint="eastAsia" w:ascii="仿宋" w:hAnsi="仿宋" w:eastAsia="仿宋" w:cs="仿宋"/>
                <w:snapToGrid w:val="0"/>
                <w:spacing w:val="-4"/>
                <w:kern w:val="0"/>
                <w:sz w:val="24"/>
                <w:szCs w:val="24"/>
              </w:rPr>
              <w:t>全年采血总量达</w:t>
            </w:r>
            <w:r>
              <w:rPr>
                <w:rFonts w:hint="eastAsia" w:ascii="仿宋" w:hAnsi="仿宋" w:eastAsia="仿宋" w:cs="仿宋"/>
                <w:snapToGrid w:val="0"/>
                <w:spacing w:val="-4"/>
                <w:kern w:val="0"/>
                <w:sz w:val="24"/>
                <w:szCs w:val="24"/>
                <w:lang w:val="en-US" w:eastAsia="zh-CN"/>
              </w:rPr>
              <w:t>21.20</w:t>
            </w:r>
            <w:r>
              <w:rPr>
                <w:rFonts w:hint="eastAsia" w:ascii="仿宋" w:hAnsi="仿宋" w:eastAsia="仿宋" w:cs="仿宋"/>
                <w:snapToGrid w:val="0"/>
                <w:spacing w:val="-4"/>
                <w:kern w:val="0"/>
                <w:sz w:val="24"/>
                <w:szCs w:val="24"/>
              </w:rPr>
              <w:t>吨</w:t>
            </w:r>
            <w:r>
              <w:rPr>
                <w:rFonts w:hint="eastAsia" w:ascii="仿宋" w:hAnsi="仿宋" w:eastAsia="仿宋" w:cs="仿宋"/>
                <w:snapToGrid w:val="0"/>
                <w:spacing w:val="-4"/>
                <w:kern w:val="0"/>
                <w:sz w:val="24"/>
                <w:szCs w:val="24"/>
                <w:lang w:eastAsia="zh-CN"/>
              </w:rPr>
              <w:t>，同比增长</w:t>
            </w:r>
            <w:r>
              <w:rPr>
                <w:rFonts w:hint="eastAsia" w:ascii="仿宋" w:hAnsi="仿宋" w:eastAsia="仿宋" w:cs="仿宋"/>
                <w:snapToGrid w:val="0"/>
                <w:spacing w:val="-4"/>
                <w:kern w:val="0"/>
                <w:sz w:val="24"/>
                <w:szCs w:val="24"/>
                <w:lang w:val="en-US" w:eastAsia="zh-CN"/>
              </w:rPr>
              <w:t>7%，完成目标111%。</w:t>
            </w:r>
            <w:r>
              <w:rPr>
                <w:rFonts w:hint="eastAsia" w:ascii="仿宋" w:hAnsi="仿宋" w:eastAsia="仿宋" w:cs="仿宋"/>
                <w:snapToGrid w:val="0"/>
                <w:spacing w:val="-4"/>
                <w:kern w:val="0"/>
                <w:sz w:val="24"/>
                <w:szCs w:val="24"/>
              </w:rPr>
              <w:t>HLA分型</w:t>
            </w:r>
            <w:r>
              <w:rPr>
                <w:rFonts w:hint="eastAsia" w:ascii="仿宋" w:hAnsi="仿宋" w:eastAsia="仿宋" w:cs="仿宋"/>
                <w:snapToGrid w:val="0"/>
                <w:spacing w:val="-4"/>
                <w:kern w:val="0"/>
                <w:sz w:val="24"/>
                <w:szCs w:val="24"/>
                <w:lang w:eastAsia="zh-CN"/>
              </w:rPr>
              <w:t>完成</w:t>
            </w:r>
            <w:r>
              <w:rPr>
                <w:rFonts w:hint="eastAsia" w:ascii="仿宋" w:hAnsi="仿宋" w:eastAsia="仿宋" w:cs="仿宋"/>
                <w:snapToGrid w:val="0"/>
                <w:spacing w:val="-4"/>
                <w:kern w:val="0"/>
                <w:sz w:val="24"/>
                <w:szCs w:val="24"/>
                <w:lang w:val="en-US" w:eastAsia="zh-CN"/>
              </w:rPr>
              <w:t>5000人份任务。</w:t>
            </w:r>
          </w:p>
          <w:p>
            <w:pPr>
              <w:autoSpaceDN w:val="0"/>
              <w:spacing w:line="320" w:lineRule="exact"/>
              <w:jc w:val="left"/>
              <w:textAlignment w:val="center"/>
              <w:rPr>
                <w:rFonts w:hint="eastAsia" w:ascii="仿宋" w:hAnsi="仿宋" w:eastAsia="仿宋" w:cs="仿宋"/>
                <w:snapToGrid w:val="0"/>
                <w:spacing w:val="-4"/>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sz w:val="21"/>
                <w:szCs w:val="21"/>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指标</w:t>
            </w:r>
            <w:r>
              <w:rPr>
                <w:rFonts w:hint="eastAsia" w:ascii="仿宋" w:hAnsi="仿宋" w:eastAsia="仿宋" w:cs="仿宋"/>
                <w:color w:val="000000"/>
                <w:sz w:val="24"/>
                <w:szCs w:val="24"/>
                <w:lang w:val="en-US" w:eastAsia="zh-CN"/>
              </w:rPr>
              <w:t>3：计划产前筛查31770人，两癌筛查94120例，孕产妇死亡率不超过12/10万。</w:t>
            </w:r>
          </w:p>
        </w:tc>
        <w:tc>
          <w:tcPr>
            <w:tcW w:w="2622" w:type="dxa"/>
            <w:gridSpan w:val="5"/>
            <w:vAlign w:val="center"/>
          </w:tcPr>
          <w:p>
            <w:pPr>
              <w:autoSpaceDN w:val="0"/>
              <w:spacing w:line="320" w:lineRule="exact"/>
              <w:jc w:val="left"/>
              <w:textAlignment w:val="center"/>
              <w:rPr>
                <w:rFonts w:hint="eastAsia" w:ascii="仿宋" w:hAnsi="仿宋" w:eastAsia="仿宋" w:cs="仿宋"/>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实际产前筛查32101人，完成率101.04%；完成两癌筛查102181例，完成率108.56%；实际孕产妇死亡率为14.35/10万，达到目标的119%</w:t>
            </w:r>
          </w:p>
          <w:p>
            <w:pPr>
              <w:autoSpaceDN w:val="0"/>
              <w:spacing w:line="320" w:lineRule="exact"/>
              <w:jc w:val="left"/>
              <w:textAlignment w:val="center"/>
              <w:rPr>
                <w:rFonts w:hint="eastAsia" w:ascii="仿宋" w:hAnsi="仿宋" w:eastAsia="仿宋" w:cs="仿宋"/>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时效指标</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指标1：妇保院2020年完成主体工程、大楼封顶</w:t>
            </w:r>
          </w:p>
          <w:p>
            <w:pPr>
              <w:autoSpaceDN w:val="0"/>
              <w:spacing w:line="320" w:lineRule="exact"/>
              <w:jc w:val="left"/>
              <w:textAlignment w:val="center"/>
              <w:rPr>
                <w:rFonts w:hint="eastAsia" w:ascii="仿宋" w:hAnsi="仿宋" w:eastAsia="仿宋" w:cs="仿宋"/>
                <w:color w:val="000000"/>
                <w:sz w:val="24"/>
                <w:szCs w:val="24"/>
                <w:lang w:val="en-US" w:eastAsia="zh-CN"/>
              </w:rPr>
            </w:pPr>
          </w:p>
        </w:tc>
        <w:tc>
          <w:tcPr>
            <w:tcW w:w="2622" w:type="dxa"/>
            <w:gridSpan w:val="5"/>
            <w:vAlign w:val="center"/>
          </w:tcPr>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已于年底前完成主体工程、大楼封顶。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color w:val="000000"/>
                <w:sz w:val="24"/>
                <w:szCs w:val="24"/>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指标2：市二医院项目建设有序推进，确保2022年6月投入使用</w:t>
            </w:r>
          </w:p>
        </w:tc>
        <w:tc>
          <w:tcPr>
            <w:tcW w:w="2622" w:type="dxa"/>
            <w:gridSpan w:val="5"/>
            <w:vAlign w:val="center"/>
          </w:tcPr>
          <w:p>
            <w:pPr>
              <w:autoSpaceDN w:val="0"/>
              <w:spacing w:line="320" w:lineRule="exact"/>
              <w:jc w:val="left"/>
              <w:textAlignment w:val="center"/>
              <w:rPr>
                <w:rFonts w:hint="eastAsia" w:ascii="仿宋" w:hAnsi="仿宋" w:eastAsia="仿宋" w:cs="仿宋"/>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医院新门诊大楼及地下停车场建设项目顺利推进，预计到2022年6月投入使用。至2020年12月31日，工程已完成了60%左右。</w:t>
            </w:r>
          </w:p>
          <w:p>
            <w:pPr>
              <w:autoSpaceDN w:val="0"/>
              <w:spacing w:line="320" w:lineRule="exact"/>
              <w:jc w:val="left"/>
              <w:textAlignment w:val="center"/>
              <w:rPr>
                <w:rFonts w:hint="eastAsia" w:ascii="仿宋" w:hAnsi="仿宋" w:eastAsia="仿宋" w:cs="仿宋"/>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成本指标</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指标1：成本管理节流</w:t>
            </w:r>
          </w:p>
        </w:tc>
        <w:tc>
          <w:tcPr>
            <w:tcW w:w="2622" w:type="dxa"/>
            <w:gridSpan w:val="5"/>
            <w:vAlign w:val="center"/>
          </w:tcPr>
          <w:p>
            <w:pPr>
              <w:autoSpaceDN w:val="0"/>
              <w:spacing w:line="320" w:lineRule="exact"/>
              <w:jc w:val="left"/>
              <w:textAlignment w:val="center"/>
              <w:rPr>
                <w:rFonts w:hint="eastAsia" w:ascii="仿宋" w:hAnsi="仿宋" w:eastAsia="仿宋" w:cs="仿宋"/>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市二医院一是严控人力成本，精简工作人员24名。二是压缩维修成本。提升自主维保水平，全年设备维保费用同比下降20%，大型设备精细维保18次，节约费用近50万元。三是精简库存积压。推进医学装备信息化、条码化、个性化、精准化统一管理，确保了专科耗材零库存。</w:t>
            </w:r>
          </w:p>
          <w:p>
            <w:pPr>
              <w:autoSpaceDN w:val="0"/>
              <w:spacing w:line="320" w:lineRule="exact"/>
              <w:jc w:val="left"/>
              <w:textAlignment w:val="center"/>
              <w:rPr>
                <w:rFonts w:hint="eastAsia" w:ascii="仿宋" w:hAnsi="仿宋" w:eastAsia="仿宋" w:cs="仿宋"/>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 w:hAnsi="仿宋" w:eastAsia="仿宋" w:cs="仿宋"/>
                <w:color w:val="000000"/>
                <w:sz w:val="21"/>
                <w:szCs w:val="21"/>
              </w:rPr>
            </w:pP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指标2：</w:t>
            </w:r>
            <w:r>
              <w:rPr>
                <w:rFonts w:hint="eastAsia" w:ascii="仿宋" w:hAnsi="仿宋" w:eastAsia="仿宋" w:cs="仿宋"/>
                <w:color w:val="000000"/>
                <w:sz w:val="24"/>
                <w:szCs w:val="24"/>
                <w:lang w:eastAsia="zh-CN"/>
              </w:rPr>
              <w:t>严控成本，减少亏损</w:t>
            </w:r>
          </w:p>
        </w:tc>
        <w:tc>
          <w:tcPr>
            <w:tcW w:w="2622" w:type="dxa"/>
            <w:gridSpan w:val="5"/>
            <w:vAlign w:val="center"/>
          </w:tcPr>
          <w:p>
            <w:pPr>
              <w:autoSpaceDN w:val="0"/>
              <w:spacing w:line="320" w:lineRule="exact"/>
              <w:jc w:val="left"/>
              <w:textAlignment w:val="center"/>
              <w:rPr>
                <w:rFonts w:hint="eastAsia" w:ascii="仿宋" w:hAnsi="仿宋" w:eastAsia="仿宋" w:cs="仿宋"/>
                <w:color w:val="000000"/>
                <w:spacing w:val="0"/>
                <w:sz w:val="24"/>
                <w:szCs w:val="24"/>
                <w:lang w:eastAsia="zh-CN"/>
              </w:rPr>
            </w:pPr>
          </w:p>
          <w:p>
            <w:pPr>
              <w:autoSpaceDN w:val="0"/>
              <w:spacing w:line="320" w:lineRule="exact"/>
              <w:jc w:val="left"/>
              <w:textAlignment w:val="center"/>
              <w:rPr>
                <w:rFonts w:hint="eastAsia" w:ascii="仿宋" w:hAnsi="仿宋" w:eastAsia="仿宋" w:cs="仿宋"/>
                <w:color w:val="000000"/>
                <w:spacing w:val="0"/>
                <w:sz w:val="24"/>
                <w:szCs w:val="24"/>
                <w:lang w:eastAsia="zh-CN"/>
              </w:rPr>
            </w:pPr>
            <w:r>
              <w:rPr>
                <w:rFonts w:hint="eastAsia" w:ascii="仿宋" w:hAnsi="仿宋" w:eastAsia="仿宋" w:cs="仿宋"/>
                <w:color w:val="000000"/>
                <w:spacing w:val="0"/>
                <w:sz w:val="24"/>
                <w:szCs w:val="24"/>
                <w:lang w:eastAsia="zh-CN"/>
              </w:rPr>
              <w:t>市中医院实行全成本管理；强化财务监督，严控管理费用支出；完善考核机制，重新制定绩效分配方案；规范招标采购程序，严格控制设备、药品采购和项目建设成本。通过改革管理手段，全年比2019年减少亏损约</w:t>
            </w:r>
            <w:r>
              <w:rPr>
                <w:rFonts w:hint="eastAsia" w:ascii="仿宋" w:hAnsi="仿宋" w:eastAsia="仿宋" w:cs="仿宋"/>
                <w:color w:val="000000"/>
                <w:spacing w:val="0"/>
                <w:sz w:val="24"/>
                <w:szCs w:val="24"/>
                <w:lang w:val="en-US" w:eastAsia="zh-CN"/>
              </w:rPr>
              <w:t>2500</w:t>
            </w:r>
            <w:r>
              <w:rPr>
                <w:rFonts w:hint="eastAsia" w:ascii="仿宋" w:hAnsi="仿宋" w:eastAsia="仿宋" w:cs="仿宋"/>
                <w:color w:val="000000"/>
                <w:spacing w:val="0"/>
                <w:sz w:val="24"/>
                <w:szCs w:val="24"/>
                <w:lang w:eastAsia="zh-CN"/>
              </w:rPr>
              <w:t>万元。</w:t>
            </w:r>
          </w:p>
          <w:p>
            <w:pPr>
              <w:autoSpaceDN w:val="0"/>
              <w:spacing w:line="320" w:lineRule="exact"/>
              <w:jc w:val="left"/>
              <w:textAlignment w:val="center"/>
              <w:rPr>
                <w:rFonts w:hint="eastAsia" w:ascii="仿宋" w:hAnsi="仿宋" w:eastAsia="仿宋" w:cs="仿宋"/>
                <w:color w:val="000000"/>
                <w:spacing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sz w:val="24"/>
                <w:szCs w:val="24"/>
              </w:rPr>
            </w:pP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指标1：抓好文明建设</w:t>
            </w:r>
            <w:r>
              <w:rPr>
                <w:rFonts w:hint="eastAsia" w:ascii="仿宋" w:hAnsi="仿宋" w:eastAsia="仿宋" w:cs="仿宋"/>
                <w:color w:val="000000"/>
                <w:sz w:val="24"/>
                <w:szCs w:val="24"/>
                <w:lang w:val="en-US" w:eastAsia="zh-CN"/>
              </w:rPr>
              <w:t xml:space="preserve">  </w:t>
            </w: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p>
            <w:pPr>
              <w:autoSpaceDN w:val="0"/>
              <w:spacing w:line="320" w:lineRule="exact"/>
              <w:jc w:val="left"/>
              <w:textAlignment w:val="center"/>
              <w:rPr>
                <w:rFonts w:hint="eastAsia" w:ascii="仿宋" w:hAnsi="仿宋" w:eastAsia="仿宋" w:cs="仿宋"/>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val="en-US" w:eastAsia="zh-CN"/>
              </w:rPr>
            </w:pPr>
          </w:p>
          <w:p>
            <w:pPr>
              <w:autoSpaceDN w:val="0"/>
              <w:spacing w:line="320" w:lineRule="exact"/>
              <w:jc w:val="left"/>
              <w:textAlignment w:val="center"/>
              <w:rPr>
                <w:rFonts w:hint="default" w:ascii="仿宋" w:hAnsi="仿宋" w:eastAsia="仿宋" w:cs="仿宋"/>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指标2：深化优质护理</w:t>
            </w:r>
            <w:r>
              <w:rPr>
                <w:rFonts w:hint="eastAsia" w:ascii="仿宋" w:hAnsi="仿宋" w:eastAsia="仿宋" w:cs="仿宋"/>
                <w:color w:val="000000"/>
                <w:sz w:val="24"/>
                <w:szCs w:val="24"/>
                <w:lang w:eastAsia="zh-CN"/>
              </w:rPr>
              <w:t>，让</w:t>
            </w:r>
            <w:r>
              <w:rPr>
                <w:rFonts w:hint="eastAsia" w:ascii="仿宋" w:hAnsi="仿宋" w:eastAsia="仿宋" w:cs="仿宋"/>
                <w:color w:val="000000"/>
                <w:sz w:val="24"/>
                <w:szCs w:val="24"/>
              </w:rPr>
              <w:t>护理关怀</w:t>
            </w:r>
            <w:r>
              <w:rPr>
                <w:rFonts w:hint="eastAsia" w:ascii="仿宋" w:hAnsi="仿宋" w:eastAsia="仿宋" w:cs="仿宋"/>
                <w:color w:val="000000"/>
                <w:sz w:val="24"/>
                <w:szCs w:val="24"/>
                <w:lang w:eastAsia="zh-CN"/>
              </w:rPr>
              <w:t>温暖人心</w:t>
            </w:r>
          </w:p>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指标</w:t>
            </w:r>
            <w:r>
              <w:rPr>
                <w:rFonts w:hint="eastAsia" w:ascii="仿宋" w:hAnsi="仿宋" w:eastAsia="仿宋" w:cs="仿宋"/>
                <w:color w:val="000000"/>
                <w:sz w:val="24"/>
                <w:szCs w:val="24"/>
                <w:lang w:val="en-US" w:eastAsia="zh-CN"/>
              </w:rPr>
              <w:t>3:保障母婴安全、预防出生缺陷</w:t>
            </w:r>
          </w:p>
        </w:tc>
        <w:tc>
          <w:tcPr>
            <w:tcW w:w="262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000000"/>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1、市二医院积极参与无偿公益献血活动，全年无偿献血7万余毫升；常态化开展“文明劝导我先行”“雷锋家乡学雷锋”等志愿活动，被评为岳阳市“四季同行.雷锋家乡学雷锋”首届公益项目捐赠爱心单位、湖南省卫健系统法治建设先进单位。      2、各医院</w:t>
            </w:r>
            <w:r>
              <w:rPr>
                <w:rFonts w:hint="eastAsia" w:ascii="仿宋" w:hAnsi="仿宋" w:eastAsia="仿宋" w:cs="仿宋"/>
                <w:color w:val="000000"/>
                <w:spacing w:val="0"/>
                <w:sz w:val="24"/>
                <w:szCs w:val="24"/>
              </w:rPr>
              <w:t>通过设置责任制护理组长和开展优质护理示范病房评选，促进了优质护</w:t>
            </w:r>
            <w:r>
              <w:rPr>
                <w:rFonts w:hint="eastAsia" w:ascii="仿宋" w:hAnsi="仿宋" w:eastAsia="仿宋" w:cs="仿宋"/>
                <w:color w:val="000000"/>
                <w:spacing w:val="0"/>
                <w:sz w:val="24"/>
                <w:szCs w:val="24"/>
                <w:lang w:eastAsia="zh-CN"/>
              </w:rPr>
              <w:t>理服务质量的提高，创建了护理服务品牌。</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3、开展母婴安全行动，任务层层分解、婚检、产前筛查等指标均超额完成，提升妇女儿童存生质量</w:t>
            </w:r>
          </w:p>
          <w:p>
            <w:pPr>
              <w:autoSpaceDN w:val="0"/>
              <w:spacing w:line="320" w:lineRule="exact"/>
              <w:jc w:val="center"/>
              <w:textAlignment w:val="center"/>
              <w:rPr>
                <w:rFonts w:hint="eastAsia" w:ascii="仿宋" w:hAnsi="仿宋" w:eastAsia="仿宋" w:cs="仿宋"/>
                <w:b/>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生态效益</w:t>
            </w:r>
          </w:p>
        </w:tc>
        <w:tc>
          <w:tcPr>
            <w:tcW w:w="2709" w:type="dxa"/>
            <w:gridSpan w:val="4"/>
            <w:vAlign w:val="center"/>
          </w:tcPr>
          <w:p>
            <w:pPr>
              <w:autoSpaceDN w:val="0"/>
              <w:spacing w:line="32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指标1：</w:t>
            </w:r>
            <w:r>
              <w:rPr>
                <w:rFonts w:hint="eastAsia" w:ascii="仿宋" w:hAnsi="仿宋" w:eastAsia="仿宋" w:cs="仿宋"/>
                <w:color w:val="000000"/>
                <w:sz w:val="24"/>
                <w:szCs w:val="24"/>
              </w:rPr>
              <w:t>污水处理达标率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医疗废物处置率</w:t>
            </w:r>
            <w:r>
              <w:rPr>
                <w:rFonts w:hint="eastAsia" w:ascii="仿宋" w:hAnsi="仿宋" w:eastAsia="仿宋" w:cs="仿宋"/>
                <w:color w:val="000000"/>
                <w:sz w:val="24"/>
                <w:szCs w:val="24"/>
                <w:lang w:eastAsia="zh-CN"/>
              </w:rPr>
              <w:t>达到</w:t>
            </w:r>
            <w:r>
              <w:rPr>
                <w:rFonts w:hint="eastAsia" w:ascii="仿宋" w:hAnsi="仿宋" w:eastAsia="仿宋" w:cs="仿宋"/>
                <w:color w:val="000000"/>
                <w:sz w:val="24"/>
                <w:szCs w:val="24"/>
                <w:lang w:val="en-US" w:eastAsia="zh-CN"/>
              </w:rPr>
              <w:t>100%</w:t>
            </w:r>
          </w:p>
        </w:tc>
        <w:tc>
          <w:tcPr>
            <w:tcW w:w="2622" w:type="dxa"/>
            <w:gridSpan w:val="5"/>
            <w:vAlign w:val="center"/>
          </w:tcPr>
          <w:p>
            <w:pPr>
              <w:autoSpaceDN w:val="0"/>
              <w:spacing w:line="320" w:lineRule="exact"/>
              <w:jc w:val="left"/>
              <w:textAlignment w:val="center"/>
              <w:rPr>
                <w:rFonts w:hint="eastAsia" w:ascii="仿宋" w:hAnsi="仿宋" w:eastAsia="仿宋" w:cs="仿宋"/>
                <w:color w:val="000000"/>
                <w:sz w:val="24"/>
                <w:szCs w:val="24"/>
                <w:lang w:eastAsia="zh-CN"/>
              </w:rPr>
            </w:pPr>
          </w:p>
          <w:p>
            <w:pPr>
              <w:autoSpaceDN w:val="0"/>
              <w:spacing w:line="320" w:lineRule="exact"/>
              <w:jc w:val="left"/>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color w:val="000000"/>
                <w:sz w:val="24"/>
                <w:szCs w:val="24"/>
                <w:lang w:eastAsia="zh-CN"/>
              </w:rPr>
              <w:t>严格按照国家标准进行</w:t>
            </w:r>
            <w:r>
              <w:rPr>
                <w:rFonts w:hint="eastAsia" w:ascii="仿宋" w:hAnsi="仿宋" w:eastAsia="仿宋" w:cs="仿宋"/>
                <w:color w:val="000000"/>
                <w:sz w:val="24"/>
                <w:szCs w:val="24"/>
              </w:rPr>
              <w:t>污水处理、医疗废物处置</w:t>
            </w:r>
            <w:r>
              <w:rPr>
                <w:rFonts w:hint="eastAsia" w:ascii="仿宋" w:hAnsi="仿宋" w:eastAsia="仿宋" w:cs="仿宋"/>
                <w:color w:val="000000"/>
                <w:sz w:val="24"/>
                <w:szCs w:val="24"/>
                <w:lang w:eastAsia="zh-CN"/>
              </w:rPr>
              <w:t>通过</w:t>
            </w:r>
            <w:r>
              <w:rPr>
                <w:rFonts w:hint="eastAsia" w:ascii="仿宋" w:hAnsi="仿宋" w:eastAsia="仿宋" w:cs="仿宋"/>
                <w:color w:val="000000"/>
                <w:sz w:val="24"/>
                <w:szCs w:val="24"/>
              </w:rPr>
              <w:t>建设污水处理站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对医院下水管网进行全面改造；污水处理站严格实行24小时值班制，</w:t>
            </w:r>
            <w:r>
              <w:rPr>
                <w:rFonts w:hint="eastAsia" w:ascii="仿宋" w:hAnsi="仿宋" w:eastAsia="仿宋" w:cs="仿宋"/>
                <w:color w:val="000000"/>
                <w:sz w:val="24"/>
                <w:szCs w:val="24"/>
                <w:lang w:eastAsia="zh-CN"/>
              </w:rPr>
              <w:t>经</w:t>
            </w:r>
            <w:r>
              <w:rPr>
                <w:rFonts w:hint="eastAsia" w:ascii="仿宋" w:hAnsi="仿宋" w:eastAsia="仿宋" w:cs="仿宋"/>
                <w:b w:val="0"/>
                <w:bCs/>
                <w:color w:val="000000"/>
                <w:sz w:val="24"/>
                <w:szCs w:val="24"/>
                <w:lang w:val="en-US" w:eastAsia="zh-CN"/>
              </w:rPr>
              <w:t>环保部门检查达标。</w:t>
            </w:r>
          </w:p>
          <w:p>
            <w:pPr>
              <w:autoSpaceDN w:val="0"/>
              <w:spacing w:line="320" w:lineRule="exact"/>
              <w:jc w:val="left"/>
              <w:textAlignment w:val="center"/>
              <w:rPr>
                <w:rFonts w:hint="eastAsia" w:ascii="仿宋" w:hAnsi="仿宋" w:eastAsia="仿宋" w:cs="仿宋"/>
                <w:b w:val="0"/>
                <w:bCs/>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社会公众或服务对象满意度</w:t>
            </w:r>
          </w:p>
        </w:tc>
        <w:tc>
          <w:tcPr>
            <w:tcW w:w="2709" w:type="dxa"/>
            <w:gridSpan w:val="4"/>
            <w:vAlign w:val="center"/>
          </w:tcPr>
          <w:p>
            <w:pPr>
              <w:autoSpaceDN w:val="0"/>
              <w:spacing w:line="320" w:lineRule="exact"/>
              <w:jc w:val="left"/>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color w:val="000000"/>
                <w:sz w:val="24"/>
                <w:szCs w:val="24"/>
              </w:rPr>
              <w:t>指标1：</w:t>
            </w:r>
            <w:r>
              <w:rPr>
                <w:rFonts w:hint="eastAsia" w:ascii="仿宋" w:hAnsi="仿宋" w:eastAsia="仿宋" w:cs="仿宋"/>
                <w:b w:val="0"/>
                <w:bCs/>
                <w:color w:val="000000"/>
                <w:sz w:val="24"/>
                <w:szCs w:val="24"/>
                <w:lang w:val="en-US" w:eastAsia="zh-CN"/>
              </w:rPr>
              <w:t>诊疗服务、挂号、缴费、查询、打印报告和清单等服务项目满意度达90%以上</w:t>
            </w:r>
          </w:p>
          <w:p>
            <w:pPr>
              <w:autoSpaceDN w:val="0"/>
              <w:spacing w:line="320" w:lineRule="exact"/>
              <w:jc w:val="left"/>
              <w:textAlignment w:val="center"/>
              <w:rPr>
                <w:rFonts w:hint="eastAsia" w:ascii="仿宋" w:hAnsi="仿宋" w:eastAsia="仿宋" w:cs="仿宋"/>
                <w:b w:val="0"/>
                <w:bCs/>
                <w:color w:val="000000"/>
                <w:sz w:val="24"/>
                <w:szCs w:val="24"/>
                <w:lang w:val="en-US" w:eastAsia="zh-CN"/>
              </w:rPr>
            </w:pPr>
          </w:p>
          <w:p>
            <w:pPr>
              <w:autoSpaceDN w:val="0"/>
              <w:spacing w:line="32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指标2：</w:t>
            </w:r>
            <w:r>
              <w:rPr>
                <w:rFonts w:hint="eastAsia" w:ascii="仿宋" w:hAnsi="仿宋" w:eastAsia="仿宋" w:cs="仿宋"/>
                <w:color w:val="000000"/>
                <w:spacing w:val="0"/>
                <w:sz w:val="24"/>
                <w:szCs w:val="24"/>
                <w:lang w:val="en-US" w:eastAsia="zh-CN"/>
              </w:rPr>
              <w:t>加强科室回访及病人满意度调查工作，满意度到达96%以上。</w:t>
            </w:r>
          </w:p>
        </w:tc>
        <w:tc>
          <w:tcPr>
            <w:tcW w:w="2622" w:type="dxa"/>
            <w:gridSpan w:val="5"/>
            <w:vAlign w:val="center"/>
          </w:tcPr>
          <w:p>
            <w:pPr>
              <w:numPr>
                <w:numId w:val="0"/>
              </w:numPr>
              <w:autoSpaceDN w:val="0"/>
              <w:spacing w:line="320" w:lineRule="exact"/>
              <w:jc w:val="left"/>
              <w:textAlignment w:val="center"/>
              <w:rPr>
                <w:rFonts w:hint="eastAsia" w:ascii="仿宋" w:hAnsi="仿宋" w:eastAsia="仿宋" w:cs="仿宋"/>
                <w:b w:val="0"/>
                <w:bCs/>
                <w:color w:val="000000"/>
                <w:sz w:val="24"/>
                <w:szCs w:val="24"/>
                <w:lang w:val="en-US" w:eastAsia="zh-CN"/>
              </w:rPr>
            </w:pPr>
          </w:p>
          <w:p>
            <w:pPr>
              <w:numPr>
                <w:ilvl w:val="0"/>
                <w:numId w:val="4"/>
              </w:numPr>
              <w:autoSpaceDN w:val="0"/>
              <w:spacing w:line="320" w:lineRule="exact"/>
              <w:jc w:val="left"/>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采用微信、自助挂号机等多形式的预约诊疗和分段整手机或自助机上挂号缴费及查询打印等方式，获得群众满意度92.6%。</w:t>
            </w:r>
          </w:p>
          <w:p>
            <w:pPr>
              <w:widowControl w:val="0"/>
              <w:numPr>
                <w:ilvl w:val="0"/>
                <w:numId w:val="4"/>
              </w:numPr>
              <w:autoSpaceDN w:val="0"/>
              <w:spacing w:line="320" w:lineRule="exact"/>
              <w:ind w:left="0" w:leftChars="0" w:firstLine="0" w:firstLineChars="0"/>
              <w:jc w:val="left"/>
              <w:textAlignment w:val="center"/>
              <w:rPr>
                <w:rFonts w:hint="eastAsia" w:ascii="仿宋" w:hAnsi="仿宋" w:eastAsia="仿宋" w:cs="仿宋"/>
                <w:color w:val="000000"/>
                <w:spacing w:val="0"/>
                <w:sz w:val="24"/>
                <w:szCs w:val="24"/>
                <w:lang w:val="en-US" w:eastAsia="zh-CN"/>
              </w:rPr>
            </w:pPr>
            <w:r>
              <w:rPr>
                <w:rFonts w:hint="eastAsia" w:ascii="仿宋" w:hAnsi="仿宋" w:eastAsia="仿宋" w:cs="仿宋"/>
                <w:b w:val="0"/>
                <w:bCs/>
                <w:color w:val="000000"/>
                <w:sz w:val="24"/>
                <w:szCs w:val="24"/>
                <w:lang w:val="en-US" w:eastAsia="zh-CN"/>
              </w:rPr>
              <w:t>通过</w:t>
            </w:r>
            <w:r>
              <w:rPr>
                <w:rFonts w:hint="eastAsia" w:ascii="仿宋" w:hAnsi="仿宋" w:eastAsia="仿宋" w:cs="仿宋"/>
                <w:color w:val="000000"/>
                <w:spacing w:val="0"/>
                <w:sz w:val="24"/>
                <w:szCs w:val="24"/>
                <w:lang w:val="en-US" w:eastAsia="zh-CN"/>
              </w:rPr>
              <w:t>回访出院病人，病人满意率为99.2%；对于收集到的反馈意见和建议，均及时进行了改进和反馈。</w:t>
            </w:r>
          </w:p>
          <w:p>
            <w:pPr>
              <w:widowControl w:val="0"/>
              <w:numPr>
                <w:ilvl w:val="0"/>
                <w:numId w:val="0"/>
              </w:numPr>
              <w:autoSpaceDN w:val="0"/>
              <w:spacing w:line="320" w:lineRule="exact"/>
              <w:ind w:leftChars="0"/>
              <w:jc w:val="left"/>
              <w:textAlignment w:val="center"/>
              <w:rPr>
                <w:rFonts w:hint="eastAsia" w:ascii="仿宋" w:hAnsi="仿宋" w:eastAsia="仿宋" w:cs="仿宋"/>
                <w:color w:val="000000"/>
                <w:spacing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748" w:type="dxa"/>
            <w:gridSpan w:val="11"/>
            <w:vAlign w:val="center"/>
          </w:tcPr>
          <w:p>
            <w:pPr>
              <w:autoSpaceDN w:val="0"/>
              <w:spacing w:line="32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748" w:type="dxa"/>
            <w:gridSpan w:val="11"/>
            <w:vAlign w:val="center"/>
          </w:tcPr>
          <w:p>
            <w:pPr>
              <w:autoSpaceDN w:val="0"/>
              <w:spacing w:line="32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738"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0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周志宏</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副主任</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岳阳市卫生健康委员会</w:t>
            </w:r>
          </w:p>
        </w:tc>
        <w:tc>
          <w:tcPr>
            <w:tcW w:w="30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易茹哲</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财务科科长</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岳阳市卫生健康委员会</w:t>
            </w:r>
          </w:p>
        </w:tc>
        <w:tc>
          <w:tcPr>
            <w:tcW w:w="30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谢美</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财务科副科长、会计</w:t>
            </w:r>
          </w:p>
        </w:tc>
        <w:tc>
          <w:tcPr>
            <w:tcW w:w="147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岳阳市卫生健康委员会</w:t>
            </w:r>
          </w:p>
        </w:tc>
        <w:tc>
          <w:tcPr>
            <w:tcW w:w="30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738"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738"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738" w:type="dxa"/>
            <w:gridSpan w:val="15"/>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谢美</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0730-8237917</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rPr>
              <w:t>一、</w:t>
            </w:r>
            <w:r>
              <w:rPr>
                <w:rFonts w:hint="eastAsia" w:ascii="黑体" w:hAnsi="黑体" w:eastAsia="黑体" w:cs="黑体"/>
                <w:bCs/>
                <w:sz w:val="28"/>
                <w:szCs w:val="28"/>
                <w:lang w:eastAsia="zh-CN"/>
              </w:rPr>
              <w:t>部门整体支出预算</w:t>
            </w:r>
            <w:r>
              <w:rPr>
                <w:rFonts w:hint="eastAsia" w:ascii="黑体" w:hAnsi="黑体" w:eastAsia="黑体" w:cs="黑体"/>
                <w:bCs/>
                <w:sz w:val="28"/>
                <w:szCs w:val="28"/>
                <w:lang w:val="en-US" w:eastAsia="zh-CN"/>
              </w:rPr>
              <w:t>绩效评价单位组成</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岳阳市卫生健康委员会20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lang w:eastAsia="zh-CN"/>
              </w:rPr>
              <w:t>年整体支出预算绩效评价单位构成包括：1、岳阳市卫生健康委本级；2、岳阳市一人民医院；3、岳阳市二人民医院；4、岳阳市中医院；5、岳阳市妇幼保健院；6、岳阳市疾控中心；7、岳阳市中心血站；8、岳阳市一人民医院南院（原岳阳市三人民医院）、</w:t>
            </w:r>
            <w:r>
              <w:rPr>
                <w:rFonts w:hint="eastAsia" w:ascii="仿宋_GB2312" w:hAnsi="仿宋_GB2312" w:eastAsia="仿宋_GB2312" w:cs="仿宋_GB2312"/>
                <w:bCs/>
                <w:sz w:val="28"/>
                <w:szCs w:val="28"/>
                <w:lang w:val="en-US" w:eastAsia="zh-CN"/>
              </w:rPr>
              <w:t>9、岳阳市卫生计生综合监督执法局。</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二、部门整体支出</w:t>
            </w:r>
            <w:r>
              <w:rPr>
                <w:rFonts w:hint="eastAsia" w:ascii="黑体" w:hAnsi="黑体" w:eastAsia="黑体" w:cs="黑体"/>
                <w:bCs/>
                <w:sz w:val="28"/>
                <w:szCs w:val="28"/>
                <w:lang w:eastAsia="zh-CN"/>
              </w:rPr>
              <w:t>预算绩效</w:t>
            </w:r>
            <w:r>
              <w:rPr>
                <w:rFonts w:hint="eastAsia" w:ascii="黑体" w:hAnsi="黑体" w:eastAsia="黑体" w:cs="黑体"/>
                <w:bCs/>
                <w:sz w:val="28"/>
                <w:szCs w:val="28"/>
              </w:rPr>
              <w:t>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2020年市卫健系统基本支出98999.11</w:t>
            </w:r>
            <w:r>
              <w:rPr>
                <w:rFonts w:hint="eastAsia" w:ascii="仿宋_GB2312" w:hAnsi="仿宋_GB2312" w:eastAsia="仿宋_GB2312" w:cs="仿宋_GB2312"/>
                <w:bCs/>
                <w:sz w:val="28"/>
                <w:szCs w:val="28"/>
                <w:lang w:val="en-US" w:eastAsia="zh-CN"/>
              </w:rPr>
              <w:t>万元，其中人员支出16144万元，公用支出82855.11万元，</w:t>
            </w:r>
            <w:r>
              <w:rPr>
                <w:rFonts w:hint="eastAsia" w:ascii="仿宋_GB2312" w:hAnsi="仿宋_GB2312" w:eastAsia="仿宋_GB2312" w:cs="仿宋_GB2312"/>
                <w:bCs/>
                <w:sz w:val="28"/>
                <w:szCs w:val="28"/>
                <w:lang w:val="en-US" w:eastAsia="zh-CN"/>
              </w:rPr>
              <w:t>主要用于人员工资、津补贴、社会保障缴费等人员经费，药品、卫生材料开支，水电、差旅、培训、维修、物业、利息等日常开支。</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2020年市卫健系统专项支出639</w:t>
            </w:r>
            <w:r>
              <w:rPr>
                <w:rFonts w:hint="eastAsia" w:ascii="仿宋_GB2312" w:hAnsi="仿宋_GB2312" w:eastAsia="仿宋_GB2312" w:cs="仿宋_GB2312"/>
                <w:bCs/>
                <w:sz w:val="28"/>
                <w:szCs w:val="28"/>
                <w:lang w:val="en-US" w:eastAsia="zh-CN"/>
              </w:rPr>
              <w:t>4.58</w:t>
            </w:r>
            <w:r>
              <w:rPr>
                <w:rFonts w:hint="eastAsia" w:ascii="仿宋_GB2312" w:hAnsi="仿宋_GB2312" w:eastAsia="仿宋_GB2312" w:cs="仿宋_GB2312"/>
                <w:bCs/>
                <w:sz w:val="28"/>
                <w:szCs w:val="28"/>
                <w:lang w:val="en-US" w:eastAsia="zh-CN"/>
              </w:rPr>
              <w:t>万元，主要用于新型冠状病毒疫情防控经、医生规范化培训、疾病应急救助、节能环保等</w:t>
            </w:r>
            <w:r>
              <w:rPr>
                <w:rFonts w:hint="eastAsia" w:ascii="仿宋_GB2312" w:hAnsi="仿宋_GB2312" w:eastAsia="仿宋_GB2312" w:cs="仿宋_GB2312"/>
                <w:bCs/>
                <w:sz w:val="28"/>
                <w:szCs w:val="28"/>
                <w:lang w:val="en-US" w:eastAsia="zh-CN"/>
              </w:rPr>
              <w:t>、艾滋病防治、公立医院改革、公共卫生体系防控救治建设资金、非税收入成本返还等。</w:t>
            </w:r>
          </w:p>
          <w:p>
            <w:pPr>
              <w:spacing w:line="560" w:lineRule="exact"/>
              <w:ind w:firstLine="560" w:firstLineChars="200"/>
              <w:rPr>
                <w:rFonts w:hint="eastAsia" w:ascii="仿宋_GB2312" w:eastAsia="仿宋_GB2312" w:cs="宋体"/>
                <w:bCs/>
                <w:sz w:val="28"/>
                <w:szCs w:val="28"/>
                <w:lang w:eastAsia="zh-CN"/>
              </w:rPr>
            </w:pPr>
            <w:r>
              <w:rPr>
                <w:rFonts w:hint="eastAsia" w:ascii="仿宋_GB2312" w:hAnsi="仿宋_GB2312" w:eastAsia="仿宋_GB2312" w:cs="仿宋_GB2312"/>
                <w:bCs/>
                <w:sz w:val="28"/>
                <w:szCs w:val="28"/>
                <w:lang w:val="en-US" w:eastAsia="zh-CN"/>
              </w:rPr>
              <w:t>为了合理、有效、规范的使用专项资金，完</w:t>
            </w:r>
            <w:r>
              <w:rPr>
                <w:rFonts w:hint="eastAsia" w:ascii="仿宋_GB2312" w:eastAsia="仿宋_GB2312" w:cs="宋体"/>
                <w:bCs/>
                <w:sz w:val="28"/>
                <w:szCs w:val="28"/>
              </w:rPr>
              <w:t>善专项资金管理流程，确保财政性资金的安全合理使用，根据国家有关制度等法律法规，</w:t>
            </w:r>
            <w:r>
              <w:rPr>
                <w:rFonts w:hint="eastAsia" w:ascii="仿宋_GB2312" w:eastAsia="仿宋_GB2312" w:cs="宋体"/>
                <w:bCs/>
                <w:sz w:val="28"/>
                <w:szCs w:val="28"/>
                <w:lang w:eastAsia="zh-CN"/>
              </w:rPr>
              <w:t>各医疗机构均</w:t>
            </w:r>
            <w:r>
              <w:rPr>
                <w:rFonts w:hint="eastAsia" w:ascii="仿宋_GB2312" w:eastAsia="仿宋_GB2312" w:cs="宋体"/>
                <w:bCs/>
                <w:sz w:val="28"/>
                <w:szCs w:val="28"/>
              </w:rPr>
              <w:t>制定了《专项资金管理办法》。建立专项资金使用管理责任制，明确专项资金的管理部门，提高使用效率。</w:t>
            </w:r>
            <w:r>
              <w:rPr>
                <w:rFonts w:hint="eastAsia" w:ascii="仿宋_GB2312" w:eastAsia="仿宋_GB2312" w:cs="宋体"/>
                <w:bCs/>
                <w:sz w:val="28"/>
                <w:szCs w:val="28"/>
                <w:lang w:eastAsia="zh-CN"/>
              </w:rPr>
              <w:t>由专业科室</w:t>
            </w:r>
            <w:r>
              <w:rPr>
                <w:rFonts w:hint="eastAsia" w:ascii="仿宋_GB2312" w:eastAsia="仿宋_GB2312" w:cs="宋体"/>
                <w:bCs/>
                <w:sz w:val="28"/>
                <w:szCs w:val="28"/>
              </w:rPr>
              <w:t>负责</w:t>
            </w:r>
            <w:r>
              <w:rPr>
                <w:rFonts w:hint="eastAsia" w:ascii="仿宋_GB2312" w:eastAsia="仿宋_GB2312" w:cs="宋体"/>
                <w:bCs/>
                <w:sz w:val="28"/>
                <w:szCs w:val="28"/>
                <w:lang w:eastAsia="zh-CN"/>
              </w:rPr>
              <w:t>项目</w:t>
            </w:r>
            <w:r>
              <w:rPr>
                <w:rFonts w:hint="eastAsia" w:ascii="仿宋_GB2312" w:eastAsia="仿宋_GB2312" w:cs="宋体"/>
                <w:bCs/>
                <w:sz w:val="28"/>
                <w:szCs w:val="28"/>
              </w:rPr>
              <w:t>资金的预算、决算的编制，资金使用的审批、监督和审查以及汇总和分析，做到了专款专用专帐</w:t>
            </w:r>
            <w:r>
              <w:rPr>
                <w:rFonts w:hint="eastAsia" w:ascii="仿宋_GB2312" w:eastAsia="仿宋_GB2312" w:cs="宋体"/>
                <w:bCs/>
                <w:sz w:val="28"/>
                <w:szCs w:val="28"/>
                <w:lang w:eastAsia="zh-CN"/>
              </w:rPr>
              <w:t>。</w:t>
            </w:r>
          </w:p>
          <w:p>
            <w:pPr>
              <w:spacing w:line="560" w:lineRule="exact"/>
              <w:rPr>
                <w:rFonts w:hint="eastAsia" w:ascii="仿宋_GB2312" w:hAnsi="仿宋_GB2312" w:eastAsia="仿宋_GB2312" w:cs="仿宋_GB2312"/>
                <w:bCs/>
                <w:sz w:val="28"/>
                <w:szCs w:val="28"/>
                <w:highlight w:val="yellow"/>
                <w:lang w:eastAsia="zh-CN"/>
              </w:rPr>
            </w:pPr>
            <w:r>
              <w:rPr>
                <w:rFonts w:hint="eastAsia" w:ascii="仿宋_GB2312" w:hAnsi="Times New Roman" w:eastAsia="仿宋_GB2312" w:cs="宋体"/>
                <w:bCs/>
                <w:sz w:val="28"/>
                <w:szCs w:val="28"/>
                <w:lang w:val="en-US" w:eastAsia="zh-CN"/>
              </w:rPr>
              <w:t>其中市中医院通过制定各项规章制度，实行全成本管理；强化财务监督，严控管理费用支出，完善考核机制，重新制定绩效分配方案，规范招标采购程序，严格控制设备、药品采购和项目建设成本等改革管理手段，实现全年同比减少亏损2500万元。</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三</w:t>
            </w:r>
            <w:r>
              <w:rPr>
                <w:rFonts w:hint="eastAsia" w:ascii="黑体" w:hAnsi="黑体" w:eastAsia="黑体" w:cs="黑体"/>
                <w:bCs/>
                <w:sz w:val="28"/>
                <w:szCs w:val="28"/>
              </w:rPr>
              <w:t>、部门（单位）整体支出绩效情况</w:t>
            </w:r>
          </w:p>
          <w:p>
            <w:pPr>
              <w:spacing w:line="580" w:lineRule="exact"/>
              <w:ind w:firstLine="560" w:firstLineChars="200"/>
              <w:rPr>
                <w:rFonts w:hint="eastAsia" w:ascii="仿宋_GB2312" w:hAnsi="Calibri" w:eastAsia="仿宋_GB2312" w:cs="Times New Roman"/>
                <w:sz w:val="28"/>
                <w:szCs w:val="28"/>
              </w:rPr>
            </w:pPr>
            <w:r>
              <w:rPr>
                <w:rFonts w:hint="eastAsia" w:ascii="仿宋_GB2312" w:hAnsi="仿宋_GB2312" w:eastAsia="仿宋_GB2312" w:cs="仿宋_GB2312"/>
                <w:bCs/>
                <w:sz w:val="28"/>
                <w:szCs w:val="28"/>
              </w:rPr>
              <w:t>（一）</w:t>
            </w:r>
            <w:r>
              <w:rPr>
                <w:rFonts w:hint="eastAsia" w:ascii="仿宋_GB2312" w:hAnsi="Calibri" w:eastAsia="仿宋_GB2312" w:cs="Times New Roman"/>
                <w:sz w:val="28"/>
                <w:szCs w:val="28"/>
              </w:rPr>
              <w:t>慎终如始抓好疫情防控工作</w:t>
            </w:r>
          </w:p>
          <w:p>
            <w:pPr>
              <w:spacing w:line="580" w:lineRule="exact"/>
              <w:ind w:firstLine="645"/>
              <w:rPr>
                <w:rFonts w:hint="eastAsia" w:ascii="仿宋_GB2312" w:hAnsi="仿宋_GB2312" w:eastAsia="仿宋_GB2312" w:cs="仿宋_GB2312"/>
                <w:bCs/>
                <w:sz w:val="28"/>
                <w:szCs w:val="28"/>
              </w:rPr>
            </w:pPr>
            <w:r>
              <w:rPr>
                <w:rFonts w:hint="eastAsia" w:ascii="仿宋_GB2312" w:hAnsi="Calibri" w:eastAsia="仿宋_GB2312" w:cs="Times New Roman"/>
                <w:sz w:val="28"/>
                <w:szCs w:val="28"/>
              </w:rPr>
              <w:t>面对突出其来的新冠肺炎疫情，岳阳市见事早、行动快，去</w:t>
            </w:r>
            <w:r>
              <w:rPr>
                <w:rFonts w:hint="eastAsia" w:ascii="仿宋_GB2312" w:hAnsi="Calibri" w:eastAsia="仿宋_GB2312" w:cs="Times New Roman"/>
                <w:sz w:val="28"/>
                <w:szCs w:val="28"/>
              </w:rPr>
              <w:t>年1月上旬即开展部署、培训、物资储备及督查工作，</w:t>
            </w:r>
            <w:r>
              <w:rPr>
                <w:rFonts w:hint="eastAsia" w:ascii="仿宋_GB2312" w:hAnsi="Times New Roman" w:eastAsia="仿宋_GB2312" w:cs="Times New Roman"/>
                <w:color w:val="000000"/>
                <w:sz w:val="28"/>
                <w:szCs w:val="28"/>
              </w:rPr>
              <w:t>第一时间启动应急响应，成立最高规格联防联控工作领导小组，实施“堵、查、隔、治、停、备、稳、督”八字方针，层层压实责任，严把“五关”，构建“五级”联动的防控责任体系，坚持“四早”、“四集中”，</w:t>
            </w:r>
            <w:r>
              <w:rPr>
                <w:rFonts w:hint="eastAsia" w:ascii="仿宋_GB2312" w:hAnsi="仿宋_GB2312" w:eastAsia="仿宋_GB2312" w:cs="仿宋_GB2312"/>
                <w:sz w:val="28"/>
                <w:szCs w:val="28"/>
              </w:rPr>
              <w:t>发挥中医药在预防、救治和康复中独特作用，</w:t>
            </w:r>
            <w:r>
              <w:rPr>
                <w:rFonts w:hint="eastAsia" w:ascii="仿宋_GB2312" w:hAnsi="Times New Roman" w:eastAsia="仿宋_GB2312" w:cs="Times New Roman"/>
                <w:color w:val="000000"/>
                <w:sz w:val="28"/>
                <w:szCs w:val="28"/>
              </w:rPr>
              <w:t>全市累计报告确诊病例156例，治愈率99.3%，51天实现所有确诊病例清零，截至元月3日，连续319天无新增病例，成功守住了湖南“北大门”，岳阳市卫生健康委被评为“全省抗疫先进集体”。</w:t>
            </w:r>
            <w:r>
              <w:rPr>
                <w:rFonts w:hint="eastAsia" w:ascii="仿宋_GB2312" w:hAnsi="Times New Roman" w:eastAsia="仿宋_GB2312" w:cs="Times New Roman"/>
                <w:kern w:val="0"/>
                <w:sz w:val="28"/>
                <w:szCs w:val="28"/>
                <w:lang w:val="zh-CN"/>
              </w:rPr>
              <w:t>严格落实常态化防控“三个不变”要求，依照依法科学、精准施策原则，</w:t>
            </w:r>
            <w:r>
              <w:rPr>
                <w:rFonts w:hint="eastAsia" w:ascii="Times New Roman" w:hAnsi="Calibri" w:eastAsia="仿宋_GB2312" w:cs="Times New Roman"/>
                <w:kern w:val="0"/>
                <w:sz w:val="28"/>
                <w:szCs w:val="28"/>
                <w:lang w:val="zh-CN"/>
              </w:rPr>
              <w:t>聚焦</w:t>
            </w:r>
            <w:r>
              <w:rPr>
                <w:rFonts w:ascii="Times New Roman" w:hAnsi="Calibri" w:eastAsia="仿宋_GB2312" w:cs="Times New Roman"/>
                <w:kern w:val="0"/>
                <w:sz w:val="28"/>
                <w:szCs w:val="28"/>
                <w:lang w:val="zh-CN"/>
              </w:rPr>
              <w:t>重点领域、重点人群、重点时段、重点环节，</w:t>
            </w:r>
            <w:r>
              <w:rPr>
                <w:rFonts w:hint="eastAsia" w:ascii="仿宋_GB2312" w:hAnsi="Times New Roman" w:eastAsia="仿宋_GB2312" w:cs="Times New Roman"/>
                <w:kern w:val="0"/>
                <w:sz w:val="28"/>
                <w:szCs w:val="28"/>
                <w:lang w:val="zh-CN"/>
              </w:rPr>
              <w:t>及时制定出台和调整完善常态化防控措施，</w:t>
            </w:r>
            <w:r>
              <w:rPr>
                <w:rFonts w:hint="eastAsia" w:ascii="Times New Roman" w:hAnsi="Times New Roman" w:eastAsia="仿宋_GB2312" w:cs="Times New Roman"/>
                <w:kern w:val="0"/>
                <w:sz w:val="28"/>
                <w:szCs w:val="28"/>
                <w:lang w:val="zh-CN"/>
              </w:rPr>
              <w:t>实行清单管理，常态化督导，</w:t>
            </w:r>
            <w:r>
              <w:rPr>
                <w:rFonts w:hint="eastAsia" w:ascii="仿宋_GB2312" w:hAnsi="Times New Roman" w:eastAsia="仿宋_GB2312" w:cs="Times New Roman"/>
                <w:kern w:val="0"/>
                <w:sz w:val="28"/>
                <w:szCs w:val="28"/>
                <w:lang w:val="zh-CN"/>
              </w:rPr>
              <w:t>压实“四方”责任。</w:t>
            </w:r>
            <w:r>
              <w:rPr>
                <w:rFonts w:hint="eastAsia" w:ascii="仿宋_GB2312" w:hAnsi="楷体" w:eastAsia="仿宋_GB2312" w:cs="宋体"/>
                <w:sz w:val="28"/>
                <w:szCs w:val="28"/>
              </w:rPr>
              <w:t>全市核酸检测能力、监测预警能力、应急保障能力得到显著提升，</w:t>
            </w:r>
            <w:r>
              <w:rPr>
                <w:rFonts w:hint="eastAsia" w:ascii="仿宋_GB2312" w:hAnsi="Times New Roman" w:eastAsia="仿宋_GB2312" w:cs="Times New Roman"/>
                <w:kern w:val="0"/>
                <w:sz w:val="28"/>
                <w:szCs w:val="28"/>
                <w:lang w:val="zh-CN"/>
              </w:rPr>
              <w:t>已建成并备案核酸检测实验室35个，核酸检测仪61</w:t>
            </w:r>
            <w:r>
              <w:rPr>
                <w:rFonts w:hint="eastAsia" w:ascii="仿宋_GB2312" w:hAnsi="仿宋_GB2312" w:eastAsia="仿宋_GB2312" w:cs="仿宋_GB2312"/>
                <w:bCs/>
                <w:sz w:val="28"/>
                <w:szCs w:val="28"/>
                <w:lang w:val="zh-CN"/>
              </w:rPr>
              <w:t>台，检测人员321人，日单份核酸检测能力7.3万人，并签约了7家第三方检测机构。</w:t>
            </w:r>
            <w:r>
              <w:rPr>
                <w:rFonts w:hint="eastAsia" w:ascii="仿宋_GB2312" w:hAnsi="仿宋_GB2312" w:eastAsia="仿宋_GB2312" w:cs="仿宋_GB2312"/>
                <w:bCs/>
                <w:sz w:val="28"/>
                <w:szCs w:val="28"/>
              </w:rPr>
              <w:t>防疫物资实行实物储备与合同储备相结合，</w:t>
            </w:r>
            <w:r>
              <w:rPr>
                <w:rFonts w:hint="eastAsia" w:ascii="仿宋_GB2312" w:hAnsi="仿宋_GB2312" w:eastAsia="仿宋_GB2312" w:cs="仿宋_GB2312"/>
                <w:bCs/>
                <w:sz w:val="28"/>
                <w:szCs w:val="28"/>
                <w:lang w:val="zh-CN"/>
              </w:rPr>
              <w:t>重要医用防护物资动态平衡。强化院感防控，管好入院通道，加强预检分诊，充分发挥好“哨点”作用。严格落实重点人群应检尽检，每周定期开展冷链食品、外环境和医疗机构外环境核酸检测。</w:t>
            </w:r>
            <w:r>
              <w:rPr>
                <w:rFonts w:hint="eastAsia" w:ascii="仿宋_GB2312" w:hAnsi="仿宋_GB2312" w:eastAsia="仿宋_GB2312" w:cs="仿宋_GB2312"/>
                <w:bCs/>
                <w:sz w:val="28"/>
                <w:szCs w:val="28"/>
              </w:rPr>
              <w:t>有序推进重点疫苗接种工作，已采购疫苗166770支，到货疫苗25600支，累计接种4132人次。</w:t>
            </w:r>
          </w:p>
          <w:p>
            <w:pPr>
              <w:spacing w:line="580" w:lineRule="exact"/>
              <w:ind w:firstLine="645"/>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二</w:t>
            </w:r>
            <w:r>
              <w:rPr>
                <w:rFonts w:hint="eastAsia" w:ascii="仿宋_GB2312" w:hAnsi="仿宋_GB2312" w:eastAsia="仿宋_GB2312" w:cs="仿宋_GB2312"/>
                <w:bCs/>
                <w:sz w:val="28"/>
                <w:szCs w:val="28"/>
              </w:rPr>
              <w:t>）圆满完成“十三五”收官任务</w:t>
            </w:r>
          </w:p>
          <w:p>
            <w:pPr>
              <w:spacing w:line="580" w:lineRule="exact"/>
              <w:ind w:firstLine="645"/>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健康扶贫实行“回头查、回头看、回头改”和“挂牌督战”，贫困人口体检尽检、社保尽保、大病尽救、慢病尽签，全面落实了“三提高、两补贴、一减免、一兜底”等各项政策，全市县域内救治率94.16%，全病种医疗费用报销比例85.23%，驻村帮扶大龙山村实现全部脱贫，为脱贫攻坚战贡献力量。进一步深化改革，实行任务倒排、定期调度，市疾控中心完成防治分离，迁建项目完成实验楼建设，综合楼建至第17层；推进医联体建设，下转率较去年同期增长39%。对856项医疗服务价格进行调整，对基层服务价格重新梳理，新增54个单病种支付标准；推行“一件事一次办”、“最多跑一次”改革，市红十字会、市计生协会和市医疗仪器服务站改革取得实质进展。民生实事超标完成，免费产前筛查32101人，完成率101.4%，农村适龄妇女免费“两癌”筛查10064人，完成率104.06%，新生儿48种遗传代谢病免费串联质普筛查38315名，完成率100.83%。全市104个建制乡镇卫生院共有541名全科医生，已实现2名全科医生全覆盖；全市1375个行政村卫生室，补助运行经费870.06万元，资金到位率105.46%，全市2754名60周岁以下在岗乡村医生全部购买了养老保险。全年无偿献血总量达20.84吨，同比增长7.5%，第九次荣获“全国无偿献血先进城市”，全市累计成功捐献248例，在全国非省份城市的市州中排名第一。</w:t>
            </w:r>
          </w:p>
          <w:p>
            <w:pPr>
              <w:spacing w:line="580" w:lineRule="exact"/>
              <w:ind w:firstLine="645"/>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三</w:t>
            </w:r>
            <w:r>
              <w:rPr>
                <w:rFonts w:hint="eastAsia" w:ascii="仿宋_GB2312" w:hAnsi="仿宋_GB2312" w:eastAsia="仿宋_GB2312" w:cs="仿宋_GB2312"/>
                <w:bCs/>
                <w:sz w:val="28"/>
                <w:szCs w:val="28"/>
              </w:rPr>
              <w:t>）加快推进健康岳阳建设步伐</w:t>
            </w:r>
          </w:p>
          <w:p>
            <w:pPr>
              <w:spacing w:line="580" w:lineRule="exact"/>
              <w:ind w:firstLine="645"/>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岳阳市委市政府高度重视健康中国行动，成立了推进委员会，制定了工作方案，纳入全市综合绩效考评强力推进。启动市中心医院（市公共卫生救治中心）建设，投资42亿，建设周期为3年，实行平战结合，补齐短板。市中医院基本医疗住院大楼正在进行装修，市妇幼保健院迁建项目已完成主体工程，均于明年底投入使用。市二医院新门诊大楼项目快速推进。启动了智慧医疗健康云平台建设，已完成设计单位招标。启动了连续三年全市重点专科能力提升工程，市财政每年投入1000万元。启动连续三年的医卫人才本土化培养，今年通过单招与统招共录取了361名免费定向培养医学生。推广中医特色治疗技术和特色护理技术140余项，岳阳市代表队在全省中药炮制竞赛荣获团体第一名。推动职业健康技术支撑机构建设，基本达到“市里能诊断、县市能体检”的要求。大力开展健康城镇创建，7个省级卫生镇、14个省级卫生村和1个省级文明卫生单位通过省级考核评估。着力提升全民健康素养，健康素养指数较去年增长12.85。扎实做好计生特殊家庭帮扶，为中心城区31个无房户发放“租房补贴”，汨罗市、湘阴县、云溪区被评为“全国计划生育优质服务先进单位”活动。重新调整了老龄工作委员会，对全市老龄健康进行全面调研，积极应对人口老龄化。</w:t>
            </w:r>
          </w:p>
          <w:p>
            <w:pPr>
              <w:spacing w:line="580" w:lineRule="exact"/>
              <w:ind w:firstLine="645"/>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四</w:t>
            </w:r>
            <w:r>
              <w:rPr>
                <w:rFonts w:hint="eastAsia" w:ascii="仿宋_GB2312" w:hAnsi="仿宋_GB2312" w:eastAsia="仿宋_GB2312" w:cs="仿宋_GB2312"/>
                <w:bCs/>
                <w:sz w:val="28"/>
                <w:szCs w:val="28"/>
              </w:rPr>
              <w:t>）压紧压实全面管党治党责任</w:t>
            </w:r>
          </w:p>
          <w:p>
            <w:pPr>
              <w:spacing w:line="580" w:lineRule="exact"/>
              <w:ind w:firstLine="645"/>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全面加强公立医院党的建设。所有市直公立医院和24家县级医院均落实党委书记和院长分设，实行党委领导下的院长负责制，并制定了党委会议议事决策规则和院长办公会议议事规则，35家医院已全部将党建工作写入医院章程。大力推行“支部建在科室 堡垒强在支部”，探索建立“双培养”机制及实施“双带头人”培育工程，市直卫健系统新增8个党总支，党支部由81个增加至112个，确保了党的组织和工作全面覆盖。开展“三表率一模范”政治机关创建，实行党员积分管理制度，增强党支部的凝聚力和战斗力，提升党建工作水平。压实管党治党“一岗双责”。对科室廉政风险点进行全面梳理，并制定防范措施，组织开展反腐倡廉警示教育，实行常态性提醒谈话，对工程建设项目及医疗器械招投标等方面开展专项整治，着力营造风清气正的环境。切实加强行风建设。健全完善市直医院总会计师制度，联合纪检、医保等部门开展行风整治，严厉打击重复检查、过度检查、过度治疗、小病大治和违规收费等行为，全</w:t>
            </w:r>
            <w:r>
              <w:rPr>
                <w:rFonts w:hint="eastAsia" w:ascii="仿宋_GB2312" w:hAnsi="仿宋_GB2312" w:eastAsia="仿宋_GB2312" w:cs="仿宋_GB2312"/>
                <w:bCs/>
                <w:sz w:val="28"/>
                <w:szCs w:val="28"/>
                <w:lang w:val="zh-TW" w:eastAsia="zh-TW"/>
              </w:rPr>
              <w:t>市未发生影响较大的行业作风事件</w:t>
            </w:r>
            <w:r>
              <w:rPr>
                <w:rFonts w:hint="eastAsia" w:ascii="仿宋_GB2312" w:hAnsi="仿宋_GB2312" w:eastAsia="仿宋_GB2312" w:cs="仿宋_GB2312"/>
                <w:bCs/>
                <w:sz w:val="28"/>
                <w:szCs w:val="28"/>
                <w:lang w:val="zh-TW"/>
              </w:rPr>
              <w:t>。</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、存在的主要问题</w:t>
            </w:r>
          </w:p>
          <w:p>
            <w:pPr>
              <w:spacing w:line="580" w:lineRule="exact"/>
              <w:ind w:firstLine="645"/>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在实施绩效管理工作方案中，将面临许多的问题和困惑。</w:t>
            </w:r>
          </w:p>
          <w:p>
            <w:pPr>
              <w:spacing w:line="580" w:lineRule="exact"/>
              <w:ind w:firstLine="645"/>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一是预算绩效意识有所提升，但仍存在误区。预算绩效管理关系整个单位，应自上而下，自下而上多次反馈沟通，才能让绩效管理工作落实更彻底。         </w:t>
            </w:r>
          </w:p>
          <w:p>
            <w:pPr>
              <w:spacing w:line="580" w:lineRule="exact"/>
              <w:ind w:firstLine="645"/>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二是绩效管理专业人员匮乏。单位从事预算管理工作人员素质整体不高，需要具备一定专业素养和实战经验的人力资源。</w:t>
            </w:r>
          </w:p>
          <w:p>
            <w:pPr>
              <w:numPr>
                <w:ilvl w:val="0"/>
                <w:numId w:val="3"/>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spacing w:line="580" w:lineRule="exact"/>
              <w:ind w:firstLine="645"/>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一是各部门各单位应重视财政支出绩效评价管理工作，明确分工，分级负责，上下沟通，确保信息对称；</w:t>
            </w:r>
          </w:p>
          <w:p>
            <w:pPr>
              <w:spacing w:line="580" w:lineRule="exact"/>
              <w:ind w:firstLine="645"/>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二是财政与各部门应加强协作，明确监管重点，强化对资金的全程监督检查；</w:t>
            </w:r>
          </w:p>
          <w:p>
            <w:pPr>
              <w:spacing w:line="580" w:lineRule="exact"/>
              <w:ind w:firstLine="645"/>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三、财政应开展绩效评价管理常规化培训，对培训成果进行考核，确保绩效管理工作从绩效目标设置、执行、经费使用控制、绩效评价以及结果应用等各方面都合理、准确，提高绩效管理工作的实际意义。</w:t>
            </w:r>
          </w:p>
          <w:p>
            <w:pPr>
              <w:numPr>
                <w:ilvl w:val="0"/>
                <w:numId w:val="0"/>
              </w:numPr>
              <w:ind w:leftChars="0" w:firstLine="560" w:firstLineChars="200"/>
              <w:jc w:val="left"/>
              <w:rPr>
                <w:rFonts w:hint="eastAsia" w:ascii="宋体" w:hAnsi="宋体" w:eastAsia="宋体" w:cs="宋体"/>
                <w:color w:val="3D3D3D"/>
                <w:sz w:val="28"/>
                <w:szCs w:val="28"/>
                <w:shd w:val="clear" w:color="auto" w:fill="FFFFFF"/>
                <w:lang w:val="en-US" w:eastAsia="zh-CN"/>
              </w:rPr>
            </w:pPr>
          </w:p>
          <w:p>
            <w:pPr>
              <w:numPr>
                <w:ilvl w:val="0"/>
                <w:numId w:val="0"/>
              </w:numPr>
              <w:spacing w:line="560" w:lineRule="exact"/>
              <w:ind w:leftChars="0" w:firstLine="560" w:firstLineChars="200"/>
              <w:rPr>
                <w:rFonts w:hint="default" w:ascii="仿宋_GB2312" w:hAnsi="黑体" w:eastAsia="仿宋_GB2312" w:cs="黑体"/>
                <w:bCs/>
                <w:sz w:val="28"/>
                <w:szCs w:val="28"/>
                <w:lang w:val="en-US" w:eastAsia="zh-CN"/>
              </w:rPr>
            </w:pPr>
          </w:p>
          <w:p>
            <w:pPr>
              <w:rPr>
                <w:rFonts w:eastAsia="楷体_GB2312"/>
                <w:bCs/>
                <w:sz w:val="28"/>
                <w:szCs w:val="28"/>
              </w:rPr>
            </w:pPr>
          </w:p>
          <w:p>
            <w:pPr>
              <w:rPr>
                <w:rFonts w:eastAsia="楷体_GB2312"/>
                <w:bCs/>
                <w:sz w:val="28"/>
                <w:szCs w:val="28"/>
              </w:rPr>
            </w:pP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spacing w:beforeLines="100" w:afterLines="100"/>
        <w:jc w:val="center"/>
        <w:rPr>
          <w:rFonts w:hint="eastAsia" w:ascii="方正小标宋简体" w:eastAsia="方正小标宋简体"/>
          <w:sz w:val="38"/>
          <w:szCs w:val="38"/>
        </w:rPr>
      </w:pPr>
      <w:r>
        <w:rPr>
          <w:rFonts w:hint="eastAsia" w:ascii="方正小标宋简体" w:eastAsia="方正小标宋简体"/>
          <w:sz w:val="38"/>
          <w:szCs w:val="38"/>
          <w:lang w:eastAsia="zh-CN"/>
        </w:rPr>
        <w:t>部门</w:t>
      </w:r>
      <w:r>
        <w:rPr>
          <w:rFonts w:hint="eastAsia" w:ascii="方正小标宋简体" w:eastAsia="方正小标宋简体"/>
          <w:sz w:val="38"/>
          <w:szCs w:val="38"/>
        </w:rPr>
        <w:t>整体支出绩效评价评分表</w:t>
      </w:r>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kern w:val="0"/>
                <w:sz w:val="18"/>
                <w:szCs w:val="18"/>
                <w:lang w:eastAsia="zh-CN"/>
              </w:rPr>
              <w:t>资金</w:t>
            </w:r>
            <w:r>
              <w:rPr>
                <w:rFonts w:hint="eastAsia" w:ascii="仿宋_GB2312" w:hAnsi="宋体" w:eastAsia="仿宋_GB2312" w:cs="宋体"/>
                <w:kern w:val="0"/>
                <w:sz w:val="18"/>
                <w:szCs w:val="18"/>
              </w:rPr>
              <w:t>有结余，但不超过上年结转</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ind w:firstLine="180" w:firstLineChars="100"/>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27370"/>
    <w:multiLevelType w:val="singleLevel"/>
    <w:tmpl w:val="8B527370"/>
    <w:lvl w:ilvl="0" w:tentative="0">
      <w:start w:val="1"/>
      <w:numFmt w:val="chineseCounting"/>
      <w:suff w:val="nothing"/>
      <w:lvlText w:val="%1、"/>
      <w:lvlJc w:val="left"/>
      <w:rPr>
        <w:rFonts w:hint="eastAsia"/>
      </w:rPr>
    </w:lvl>
  </w:abstractNum>
  <w:abstractNum w:abstractNumId="1">
    <w:nsid w:val="C8C86298"/>
    <w:multiLevelType w:val="singleLevel"/>
    <w:tmpl w:val="C8C86298"/>
    <w:lvl w:ilvl="0" w:tentative="0">
      <w:start w:val="1"/>
      <w:numFmt w:val="decimal"/>
      <w:suff w:val="nothing"/>
      <w:lvlText w:val="%1、"/>
      <w:lvlJc w:val="left"/>
    </w:lvl>
  </w:abstractNum>
  <w:abstractNum w:abstractNumId="2">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3">
    <w:nsid w:val="1D23FFBB"/>
    <w:multiLevelType w:val="singleLevel"/>
    <w:tmpl w:val="1D23FFBB"/>
    <w:lvl w:ilvl="0" w:tentative="0">
      <w:start w:val="3"/>
      <w:numFmt w:val="chineseCounting"/>
      <w:suff w:val="nothing"/>
      <w:lvlText w:val="%1、"/>
      <w:lvlJc w:val="left"/>
      <w:pPr>
        <w:ind w:left="21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0B0F"/>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3F263C"/>
    <w:rsid w:val="029E6ACB"/>
    <w:rsid w:val="03006157"/>
    <w:rsid w:val="04CB01DA"/>
    <w:rsid w:val="06683483"/>
    <w:rsid w:val="066C0BAA"/>
    <w:rsid w:val="099524F8"/>
    <w:rsid w:val="0AB045FC"/>
    <w:rsid w:val="0F963244"/>
    <w:rsid w:val="10AD20A1"/>
    <w:rsid w:val="116970DA"/>
    <w:rsid w:val="12382974"/>
    <w:rsid w:val="13CC0941"/>
    <w:rsid w:val="14E30558"/>
    <w:rsid w:val="14E85807"/>
    <w:rsid w:val="162C568D"/>
    <w:rsid w:val="16994780"/>
    <w:rsid w:val="17863319"/>
    <w:rsid w:val="18056B1C"/>
    <w:rsid w:val="19D1534A"/>
    <w:rsid w:val="1C6775EE"/>
    <w:rsid w:val="1D8A0700"/>
    <w:rsid w:val="1E13545E"/>
    <w:rsid w:val="207C5D47"/>
    <w:rsid w:val="234361AB"/>
    <w:rsid w:val="23774684"/>
    <w:rsid w:val="28182662"/>
    <w:rsid w:val="2F3A0B45"/>
    <w:rsid w:val="2F824A71"/>
    <w:rsid w:val="318C4DF0"/>
    <w:rsid w:val="33127C4A"/>
    <w:rsid w:val="34223643"/>
    <w:rsid w:val="344E2107"/>
    <w:rsid w:val="34817C4F"/>
    <w:rsid w:val="371C434D"/>
    <w:rsid w:val="38F838C2"/>
    <w:rsid w:val="39C03CBD"/>
    <w:rsid w:val="3ACC66F6"/>
    <w:rsid w:val="3B053CBB"/>
    <w:rsid w:val="3BA924BB"/>
    <w:rsid w:val="3BF64654"/>
    <w:rsid w:val="3C204B9A"/>
    <w:rsid w:val="3E001CC6"/>
    <w:rsid w:val="3E3D47B0"/>
    <w:rsid w:val="41A323DE"/>
    <w:rsid w:val="43C650C1"/>
    <w:rsid w:val="4574189C"/>
    <w:rsid w:val="47683228"/>
    <w:rsid w:val="48346DA0"/>
    <w:rsid w:val="4A5D58A3"/>
    <w:rsid w:val="4C836932"/>
    <w:rsid w:val="4F360A24"/>
    <w:rsid w:val="50237971"/>
    <w:rsid w:val="51C01952"/>
    <w:rsid w:val="538A0613"/>
    <w:rsid w:val="54963145"/>
    <w:rsid w:val="56653BCE"/>
    <w:rsid w:val="5CC0038D"/>
    <w:rsid w:val="5FE61A33"/>
    <w:rsid w:val="60B841AA"/>
    <w:rsid w:val="62613F5D"/>
    <w:rsid w:val="62BA3D58"/>
    <w:rsid w:val="648E7206"/>
    <w:rsid w:val="673175E5"/>
    <w:rsid w:val="673A26EE"/>
    <w:rsid w:val="67993F12"/>
    <w:rsid w:val="68EA308F"/>
    <w:rsid w:val="6AA8332F"/>
    <w:rsid w:val="6D1C7AB3"/>
    <w:rsid w:val="6D354245"/>
    <w:rsid w:val="6FCF3DB7"/>
    <w:rsid w:val="70244467"/>
    <w:rsid w:val="702D49D7"/>
    <w:rsid w:val="71D429AD"/>
    <w:rsid w:val="72000213"/>
    <w:rsid w:val="72A34CDF"/>
    <w:rsid w:val="73E95442"/>
    <w:rsid w:val="74796D45"/>
    <w:rsid w:val="764164FD"/>
    <w:rsid w:val="77967BB1"/>
    <w:rsid w:val="78095017"/>
    <w:rsid w:val="78480BFF"/>
    <w:rsid w:val="79B5413B"/>
    <w:rsid w:val="7A6F2051"/>
    <w:rsid w:val="7C494C0A"/>
    <w:rsid w:val="7E2357FA"/>
    <w:rsid w:val="7F671193"/>
    <w:rsid w:val="7F89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3</TotalTime>
  <ScaleCrop>false</ScaleCrop>
  <LinksUpToDate>false</LinksUpToDate>
  <CharactersWithSpaces>10982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2021-06-22T04:34:04Z</cp:lastPrinted>
  <dcterms:modified xsi:type="dcterms:W3CDTF">2021-06-22T04:34:08Z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53E506A3CE464C7799523EAA86A42233</vt:lpwstr>
  </property>
</Properties>
</file>