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岳阳市洞庭湖江豚保护中心</w:t>
      </w: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spacing w:line="540" w:lineRule="exact"/>
        <w:jc w:val="center"/>
        <w:rPr>
          <w:sz w:val="56"/>
          <w:szCs w:val="56"/>
        </w:rPr>
      </w:pPr>
    </w:p>
    <w:p>
      <w:pPr>
        <w:pStyle w:val="13"/>
        <w:spacing w:line="500" w:lineRule="exact"/>
        <w:jc w:val="both"/>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岳阳市洞庭湖江豚保护中心</w:t>
      </w:r>
      <w:r>
        <w:rPr>
          <w:rFonts w:hint="eastAsia" w:ascii="黑体" w:hAnsi="黑体" w:eastAsia="黑体" w:cs="黑体"/>
          <w:b w:val="0"/>
          <w:bCs/>
          <w:sz w:val="28"/>
          <w:szCs w:val="28"/>
        </w:rPr>
        <w:t>单位概况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岳阳市洞庭湖江豚保护中心</w:t>
      </w:r>
      <w:r>
        <w:rPr>
          <w:rFonts w:hint="eastAsia" w:ascii="方正小标宋_GBK" w:hAnsi="方正小标宋_GBK" w:eastAsia="方正小标宋_GBK" w:cs="方正小标宋_GBK"/>
          <w:sz w:val="84"/>
          <w:szCs w:val="84"/>
        </w:rPr>
        <w:t>单位概况</w:t>
      </w:r>
    </w:p>
    <w:p>
      <w:pPr>
        <w:pStyle w:val="2"/>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（一）承担水产种质资源</w:t>
      </w:r>
      <w:r>
        <w:rPr>
          <w:rFonts w:hint="eastAsia" w:ascii="Times New Roman" w:hAnsi="Times New Roman" w:eastAsia="仿宋_GB2312" w:cs="仿宋_GB2312"/>
          <w:sz w:val="32"/>
          <w:szCs w:val="32"/>
          <w:lang w:val="zh-CN"/>
        </w:rPr>
        <w:t>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以下简称保护区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zh-CN"/>
        </w:rPr>
        <w:t>内水生生物资源及其生存环境的监测、资源养护和生态修复等工作，并协助有关部门开展保护区的科学研究工作。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eastAsia="zh-CN"/>
        </w:rPr>
      </w:pP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val="zh-CN"/>
        </w:rPr>
        <w:t>承担保护区</w:t>
      </w:r>
      <w:r>
        <w:rPr>
          <w:rFonts w:hint="eastAsia" w:ascii="Times New Roman" w:hAnsi="Times New Roman" w:eastAsia="仿宋_GB2312" w:cs="仿宋_GB2312"/>
          <w:sz w:val="32"/>
          <w:szCs w:val="32"/>
          <w:lang w:val="en-US" w:eastAsia="zh-CN"/>
        </w:rPr>
        <w:t>及长江岳阳段范围</w:t>
      </w:r>
      <w:r>
        <w:rPr>
          <w:rFonts w:hint="eastAsia" w:ascii="Times New Roman" w:hAnsi="Times New Roman" w:eastAsia="仿宋_GB2312" w:cs="仿宋_GB2312"/>
          <w:sz w:val="32"/>
          <w:szCs w:val="32"/>
          <w:lang w:val="zh-CN"/>
        </w:rPr>
        <w:t>内珍贵、濒危水生野生动物保护工作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承担</w:t>
      </w:r>
      <w:r>
        <w:rPr>
          <w:rFonts w:hint="eastAsia" w:ascii="Times New Roman" w:hAnsi="Times New Roman" w:eastAsia="仿宋_GB2312" w:cs="仿宋_GB2312"/>
          <w:sz w:val="32"/>
          <w:szCs w:val="32"/>
          <w:lang w:val="zh-CN"/>
        </w:rPr>
        <w:t>长江江豚的救护和驯养繁殖研究工作</w:t>
      </w:r>
      <w:r>
        <w:rPr>
          <w:rFonts w:hint="eastAsia" w:ascii="Times New Roman" w:hAnsi="Times New Roman"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sz w:val="32"/>
          <w:szCs w:val="32"/>
          <w:lang w:val="zh-CN"/>
        </w:rPr>
        <w:t>承担市本级水产种质资源</w:t>
      </w:r>
      <w:r>
        <w:rPr>
          <w:rFonts w:hint="eastAsia" w:ascii="Times New Roman" w:hAnsi="Times New Roman" w:eastAsia="仿宋_GB2312" w:cs="仿宋_GB2312"/>
          <w:sz w:val="32"/>
          <w:szCs w:val="32"/>
          <w:lang w:val="en-US" w:eastAsia="zh-CN"/>
        </w:rPr>
        <w:t>保护、国家级水产种质资源保护区的相关</w:t>
      </w:r>
      <w:r>
        <w:rPr>
          <w:rFonts w:hint="eastAsia" w:ascii="Times New Roman" w:hAnsi="Times New Roman" w:eastAsia="仿宋_GB2312" w:cs="仿宋_GB2312"/>
          <w:sz w:val="32"/>
          <w:szCs w:val="32"/>
          <w:lang w:val="zh-CN"/>
        </w:rPr>
        <w:t>管理工作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以及</w:t>
      </w:r>
      <w:r>
        <w:rPr>
          <w:rFonts w:hint="eastAsia" w:ascii="Times New Roman" w:hAnsi="Times New Roman" w:eastAsia="仿宋_GB2312" w:cs="仿宋_GB2312"/>
          <w:sz w:val="32"/>
          <w:szCs w:val="32"/>
          <w:lang w:val="zh-CN"/>
        </w:rPr>
        <w:t>全市水产种质资源保护区的业务指导</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（四）根据授权，</w:t>
      </w:r>
      <w:r>
        <w:rPr>
          <w:rFonts w:hint="eastAsia" w:ascii="Times New Roman" w:hAnsi="Times New Roman" w:eastAsia="仿宋_GB2312" w:cs="仿宋_GB2312"/>
          <w:sz w:val="32"/>
          <w:szCs w:val="32"/>
          <w:lang w:val="zh-CN"/>
        </w:rPr>
        <w:t>承担保护区范围内涉水涉渔工程项目监管及生态补偿资金和生态补偿措施落</w:t>
      </w:r>
      <w:r>
        <w:rPr>
          <w:rFonts w:hint="eastAsia" w:ascii="Times New Roman" w:hAnsi="Times New Roman" w:eastAsia="仿宋_GB2312" w:cs="仿宋_GB2312"/>
          <w:sz w:val="32"/>
          <w:szCs w:val="32"/>
          <w:lang w:val="en-US" w:eastAsia="zh-CN"/>
        </w:rPr>
        <w:t>实的行政辅助工作。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（五）协助</w:t>
      </w:r>
      <w:r>
        <w:rPr>
          <w:rFonts w:hint="eastAsia" w:ascii="Times New Roman" w:hAnsi="Times New Roman" w:eastAsia="仿宋_GB2312" w:cs="仿宋_GB2312"/>
          <w:sz w:val="32"/>
          <w:szCs w:val="32"/>
          <w:lang w:val="zh-CN"/>
        </w:rPr>
        <w:t>查处保护区范围内违反水生野生动物资源管理的各类违法违规</w:t>
      </w:r>
      <w:r>
        <w:rPr>
          <w:rFonts w:hint="eastAsia" w:ascii="Times New Roman" w:hAnsi="Times New Roman" w:eastAsia="仿宋_GB2312" w:cs="仿宋_GB2312"/>
          <w:sz w:val="32"/>
          <w:szCs w:val="32"/>
          <w:lang w:val="en-US" w:eastAsia="zh-CN"/>
        </w:rPr>
        <w:t>行为</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（六）承担</w:t>
      </w:r>
      <w:r>
        <w:rPr>
          <w:rFonts w:hint="eastAsia" w:ascii="Times New Roman" w:hAnsi="Times New Roman" w:eastAsia="仿宋_GB2312" w:cs="仿宋_GB2312"/>
          <w:sz w:val="32"/>
          <w:szCs w:val="32"/>
          <w:lang w:val="zh-CN"/>
        </w:rPr>
        <w:t>保护长江江豚和其他珍贵、濒危水生野生动物</w:t>
      </w:r>
      <w:r>
        <w:rPr>
          <w:rFonts w:hint="eastAsia" w:ascii="Times New Roman" w:hAnsi="Times New Roman" w:eastAsia="仿宋_GB2312" w:cs="仿宋_GB2312"/>
          <w:sz w:val="32"/>
          <w:szCs w:val="32"/>
          <w:lang w:val="en-US" w:eastAsia="zh-CN"/>
        </w:rPr>
        <w:t>及水产种质资源保护区</w:t>
      </w:r>
      <w:r>
        <w:rPr>
          <w:rFonts w:hint="eastAsia" w:ascii="Times New Roman" w:hAnsi="Times New Roman" w:eastAsia="仿宋_GB2312" w:cs="仿宋_GB2312"/>
          <w:sz w:val="32"/>
          <w:szCs w:val="32"/>
          <w:lang w:val="zh-CN"/>
        </w:rPr>
        <w:t>的宣传教育</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（七）接受国内外组织和个人的捐赠，用于保护区的建设和管理。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（八）</w:t>
      </w:r>
      <w:r>
        <w:rPr>
          <w:rFonts w:hint="eastAsia" w:ascii="Times New Roman" w:hAnsi="Times New Roman" w:eastAsia="仿宋_GB2312" w:cs="仿宋_GB2312"/>
          <w:sz w:val="32"/>
          <w:szCs w:val="32"/>
          <w:lang w:val="zh-CN"/>
        </w:rPr>
        <w:t>在不影响保护自然保护区的自然环境和自然资源的前提下，</w:t>
      </w:r>
      <w:r>
        <w:rPr>
          <w:rFonts w:hint="eastAsia" w:ascii="Times New Roman" w:hAnsi="Times New Roman" w:eastAsia="仿宋_GB2312" w:cs="仿宋_GB2312"/>
          <w:sz w:val="32"/>
          <w:szCs w:val="32"/>
          <w:lang w:val="en-US" w:eastAsia="zh-CN"/>
        </w:rPr>
        <w:t>协助</w:t>
      </w:r>
      <w:r>
        <w:rPr>
          <w:rFonts w:hint="eastAsia" w:ascii="Times New Roman" w:hAnsi="Times New Roman" w:eastAsia="仿宋_GB2312" w:cs="仿宋_GB2312"/>
          <w:sz w:val="32"/>
          <w:szCs w:val="32"/>
          <w:lang w:val="zh-CN"/>
        </w:rPr>
        <w:t>开展参观、旅游等活动。</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岳阳市洞庭湖江豚保护中心</w:t>
      </w:r>
      <w:r>
        <w:rPr>
          <w:rFonts w:hint="eastAsia" w:ascii="Times New Roman" w:hAnsi="Times New Roman" w:eastAsia="仿宋_GB2312" w:cs="仿宋_GB2312"/>
          <w:bCs/>
          <w:kern w:val="0"/>
          <w:sz w:val="32"/>
          <w:szCs w:val="32"/>
        </w:rPr>
        <w:t>单位内设机构包括：办公室、观测保护站</w:t>
      </w:r>
      <w:r>
        <w:rPr>
          <w:rFonts w:hint="eastAsia" w:ascii="Times New Roman" w:hAnsi="Times New Roman" w:eastAsia="仿宋_GB2312" w:cs="仿宋_GB2312"/>
          <w:bCs/>
          <w:kern w:val="0"/>
          <w:sz w:val="32"/>
          <w:szCs w:val="32"/>
          <w:lang w:val="en-US" w:eastAsia="zh-CN"/>
        </w:rPr>
        <w:t>共2个</w:t>
      </w:r>
      <w:r>
        <w:rPr>
          <w:rFonts w:hint="eastAsia" w:ascii="Times New Roman" w:hAnsi="Times New Roman" w:eastAsia="仿宋_GB2312" w:cs="仿宋_GB2312"/>
          <w:bCs/>
          <w:kern w:val="0"/>
          <w:sz w:val="32"/>
          <w:szCs w:val="32"/>
        </w:rPr>
        <w:t>科室。</w:t>
      </w:r>
    </w:p>
    <w:p>
      <w:pPr>
        <w:widowControl/>
        <w:numPr>
          <w:ilvl w:val="0"/>
          <w:numId w:val="0"/>
        </w:numPr>
        <w:spacing w:line="600" w:lineRule="exact"/>
        <w:ind w:firstLine="640" w:firstLineChars="200"/>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highlight w:val="none"/>
          <w:lang w:val="en-US" w:eastAsia="zh-CN"/>
        </w:rPr>
        <w:t>岳阳市洞庭湖江豚保护中心单位</w:t>
      </w:r>
      <w:r>
        <w:rPr>
          <w:rFonts w:hint="eastAsia" w:ascii="Times New Roman" w:hAnsi="Times New Roman" w:eastAsia="仿宋_GB2312" w:cs="仿宋_GB2312"/>
          <w:bCs/>
          <w:kern w:val="0"/>
          <w:sz w:val="32"/>
          <w:szCs w:val="32"/>
          <w:highlight w:val="none"/>
        </w:rPr>
        <w:t>202</w:t>
      </w:r>
      <w:r>
        <w:rPr>
          <w:rFonts w:hint="eastAsia" w:ascii="Times New Roman" w:hAnsi="Times New Roman" w:eastAsia="仿宋_GB2312" w:cs="仿宋_GB2312"/>
          <w:bCs/>
          <w:kern w:val="0"/>
          <w:sz w:val="32"/>
          <w:szCs w:val="32"/>
          <w:highlight w:val="none"/>
          <w:lang w:val="en-US" w:eastAsia="zh-CN"/>
        </w:rPr>
        <w:t>4</w:t>
      </w:r>
      <w:r>
        <w:rPr>
          <w:rFonts w:hint="eastAsia" w:ascii="Times New Roman" w:hAnsi="Times New Roman" w:eastAsia="仿宋_GB2312" w:cs="仿宋_GB2312"/>
          <w:bCs/>
          <w:kern w:val="0"/>
          <w:sz w:val="32"/>
          <w:szCs w:val="32"/>
          <w:highlight w:val="none"/>
        </w:rPr>
        <w:t>年部门决算汇总公开单位构成包括：</w:t>
      </w:r>
      <w:r>
        <w:rPr>
          <w:rFonts w:hint="eastAsia" w:ascii="Times New Roman" w:hAnsi="Times New Roman" w:eastAsia="仿宋_GB2312" w:cs="仿宋_GB2312"/>
          <w:bCs/>
          <w:kern w:val="0"/>
          <w:sz w:val="32"/>
          <w:szCs w:val="32"/>
          <w:highlight w:val="none"/>
          <w:lang w:val="en-US" w:eastAsia="zh-CN"/>
        </w:rPr>
        <w:t>岳阳市洞庭湖江豚保护中心。本单位无独立核算的下属单位，2024年度部门决算汇总公开单位仅包括岳阳市洞庭湖江豚保护中心单位本级</w:t>
      </w:r>
      <w:r>
        <w:rPr>
          <w:rFonts w:hint="eastAsia" w:ascii="Times New Roman" w:hAnsi="Times New Roman" w:eastAsia="仿宋_GB2312" w:cs="仿宋_GB2312"/>
          <w:bCs/>
          <w:kern w:val="0"/>
          <w:sz w:val="32"/>
          <w:szCs w:val="32"/>
          <w:highlight w:val="none"/>
          <w:lang w:eastAsia="zh-CN"/>
        </w:rPr>
        <w:t>。</w:t>
      </w:r>
    </w:p>
    <w:p/>
    <w:p>
      <w:pPr>
        <w:pStyle w:val="2"/>
      </w:pPr>
    </w:p>
    <w:p>
      <w:pPr>
        <w:pStyle w:val="3"/>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2024年度收、支总计1043.72万元。与上年相比，增加611.00万元，增长141.20%，主要是因为:（</w:t>
      </w:r>
      <w:r>
        <w:rPr>
          <w:rFonts w:hint="eastAsia" w:ascii="仿宋_GB2312" w:hAnsi="仿宋" w:eastAsia="仿宋_GB2312" w:cs="仿宋"/>
          <w:sz w:val="32"/>
          <w:szCs w:val="32"/>
        </w:rPr>
        <w:t>1）本年东洞庭湖江豚等野生水生动物植物保护项目支出较上年增加466.72万元；（2）本年新增生态修复补偿资金（华能电厂）项目支出55.28万元；（3）本年新增生态修复补偿资金（岳阳港危化品船舶洗舱站工程）项目支出80.35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1043.72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1042.50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99.88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0.12</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1043.72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147.14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14.10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896.59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85.90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1042.50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609.78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140.92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主要是因为:（</w:t>
      </w:r>
      <w:r>
        <w:rPr>
          <w:rFonts w:hint="eastAsia" w:ascii="仿宋_GB2312" w:hAnsi="仿宋" w:eastAsia="仿宋_GB2312" w:cs="仿宋"/>
          <w:sz w:val="32"/>
          <w:szCs w:val="32"/>
        </w:rPr>
        <w:t>1）本年东洞庭湖江豚等野生水生动物植物保护项目支出较上年增加466.72万元；（2）本年新增生态修复补偿资金（华能电厂）项目支出55.28万元；（3）本年新增生态修复补偿资金（岳阳港危化品船舶洗舱站工程）项目支出80.35万元。</w:t>
      </w:r>
    </w:p>
    <w:p>
      <w:pPr>
        <w:widowControl/>
        <w:ind w:firstLine="640" w:firstLineChars="200"/>
        <w:jc w:val="left"/>
        <w:rPr>
          <w:rFonts w:hint="eastAsia" w:ascii="仿宋_GB2312" w:hAnsi="仿宋_GB2312" w:eastAsia="仿宋_GB2312" w:cs="仿宋_GB2312"/>
          <w:sz w:val="32"/>
          <w:szCs w:val="32"/>
        </w:rPr>
      </w:pP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1042.50</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99.88</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609.78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140.92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主要是因为:（</w:t>
      </w:r>
      <w:r>
        <w:rPr>
          <w:rFonts w:hint="eastAsia" w:ascii="仿宋_GB2312" w:hAnsi="仿宋" w:eastAsia="仿宋_GB2312" w:cs="仿宋"/>
          <w:sz w:val="32"/>
          <w:szCs w:val="32"/>
        </w:rPr>
        <w:t>1）本年东洞庭湖江豚等野生水生动物植物保护项目支出较上年增加466.72万元；（2）本年新增生态修复补偿资金（华能电厂）项目支出55.28万元；（3）本年新增生态修复补偿资金（岳阳港危化品船舶洗舱站工程）项目支出80.35万元。</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1042.50</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sz w:val="32"/>
          <w:szCs w:val="32"/>
          <w:lang w:val="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13.90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1.33</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val="zh-CN"/>
        </w:rPr>
        <w:t>卫生健康</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7.47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0.72</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val="zh-CN"/>
        </w:rPr>
        <w:t>节能环保（类）支出</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0.86</w:t>
      </w:r>
      <w:r>
        <w:rPr>
          <w:rFonts w:hint="eastAsia" w:ascii="Times New Roman" w:hAnsi="Times New Roman" w:eastAsia="仿宋_GB2312"/>
          <w:sz w:val="32"/>
          <w:szCs w:val="32"/>
          <w:lang w:val="zh-CN"/>
        </w:rPr>
        <w:t>%；农林水（类）支出</w:t>
      </w:r>
      <w:r>
        <w:rPr>
          <w:rFonts w:hint="eastAsia" w:ascii="Times New Roman" w:hAnsi="Times New Roman" w:eastAsia="仿宋_GB2312"/>
          <w:sz w:val="32"/>
          <w:szCs w:val="32"/>
          <w:lang w:val="en-US" w:eastAsia="zh-CN"/>
        </w:rPr>
        <w:t>354.02</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33.96</w:t>
      </w:r>
      <w:r>
        <w:rPr>
          <w:rFonts w:hint="eastAsia" w:ascii="Times New Roman" w:hAnsi="Times New Roman" w:eastAsia="仿宋_GB2312"/>
          <w:sz w:val="32"/>
          <w:szCs w:val="32"/>
          <w:lang w:val="zh-CN"/>
        </w:rPr>
        <w:t>%；自然资源海洋气象等（类）支出</w:t>
      </w:r>
      <w:r>
        <w:rPr>
          <w:rFonts w:hint="eastAsia" w:ascii="Times New Roman" w:hAnsi="Times New Roman" w:eastAsia="仿宋_GB2312"/>
          <w:sz w:val="32"/>
          <w:szCs w:val="32"/>
          <w:lang w:val="en-US" w:eastAsia="zh-CN"/>
        </w:rPr>
        <w:t>648.84</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62.24</w:t>
      </w:r>
      <w:r>
        <w:rPr>
          <w:rFonts w:hint="eastAsia" w:ascii="Times New Roman" w:hAnsi="Times New Roman" w:eastAsia="仿宋_GB2312"/>
          <w:sz w:val="32"/>
          <w:szCs w:val="32"/>
          <w:lang w:val="zh-CN"/>
        </w:rPr>
        <w:t>%；</w:t>
      </w:r>
      <w:r>
        <w:rPr>
          <w:rFonts w:hint="eastAsia" w:ascii="Times New Roman" w:hAnsi="Times New Roman" w:eastAsia="仿宋_GB2312"/>
          <w:sz w:val="32"/>
          <w:szCs w:val="32"/>
          <w:lang w:val="en-US" w:eastAsia="zh-CN"/>
        </w:rPr>
        <w:t>住房保障（类）支出9.28万元，占0.89%。</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132.44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1042.50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787.15</w:t>
      </w:r>
      <w:r>
        <w:rPr>
          <w:rFonts w:hint="eastAsia" w:ascii="仿宋_GB2312" w:hAnsi="仿宋_GB2312" w:eastAsia="仿宋_GB2312" w:cs="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Times New Roman" w:hAnsi="Times New Roman" w:eastAsia="仿宋_GB2312"/>
          <w:sz w:val="32"/>
          <w:szCs w:val="32"/>
          <w:highlight w:val="none"/>
          <w:lang w:val="zh-CN" w:eastAsia="zh-CN"/>
        </w:rPr>
        <w:t>社会保障和就业支出（类）行政事业单位养老支出（款）机关事业单位基本养老保险缴费支出（项）</w:t>
      </w:r>
      <w:r>
        <w:rPr>
          <w:rFonts w:hint="eastAsia" w:ascii="仿宋_GB2312" w:hAnsi="仿宋_GB2312" w:eastAsia="仿宋_GB2312" w:cs="仿宋_GB2312"/>
          <w:sz w:val="32"/>
          <w:szCs w:val="32"/>
          <w:highlight w:val="none"/>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12.92</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12.64</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97.83</w:t>
      </w:r>
      <w:r>
        <w:rPr>
          <w:rFonts w:hint="eastAsia" w:ascii="仿宋_GB2312" w:hAnsi="仿宋_GB2312" w:eastAsia="仿宋_GB2312" w:cs="仿宋_GB2312"/>
          <w:sz w:val="32"/>
          <w:szCs w:val="32"/>
          <w:highlight w:val="none"/>
        </w:rPr>
        <w:t>%，决算数小于年初预算数的主要原因是：</w:t>
      </w:r>
      <w:r>
        <w:rPr>
          <w:rFonts w:hint="eastAsia" w:ascii="Times New Roman" w:hAnsi="Times New Roman" w:eastAsia="仿宋_GB2312"/>
          <w:sz w:val="32"/>
          <w:szCs w:val="32"/>
          <w:highlight w:val="none"/>
          <w:lang w:val="en-US" w:eastAsia="zh-CN"/>
        </w:rPr>
        <w:t>年末财政收回养老保险结余资金0.28万元。</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Times New Roman" w:hAnsi="Times New Roman" w:eastAsia="仿宋_GB2312"/>
          <w:sz w:val="32"/>
          <w:szCs w:val="32"/>
          <w:highlight w:val="none"/>
          <w:lang w:val="zh-CN" w:eastAsia="zh-CN"/>
        </w:rPr>
        <w:t>社会保障和就业支出（类）</w:t>
      </w:r>
      <w:r>
        <w:rPr>
          <w:rFonts w:hint="eastAsia" w:ascii="Times New Roman" w:hAnsi="Times New Roman" w:eastAsia="仿宋_GB2312"/>
          <w:sz w:val="32"/>
          <w:szCs w:val="32"/>
          <w:highlight w:val="none"/>
          <w:lang w:val="en-US" w:eastAsia="zh-CN"/>
        </w:rPr>
        <w:t>残疾人事业（款） 其他残疾人事业支出（项）。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1.04</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1.04</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年初预算数的主要原因是</w:t>
      </w:r>
      <w:r>
        <w:rPr>
          <w:rFonts w:hint="eastAsia" w:ascii="Times New Roman" w:hAnsi="Times New Roman" w:eastAsia="仿宋_GB2312"/>
          <w:sz w:val="32"/>
          <w:szCs w:val="32"/>
          <w:highlight w:val="none"/>
          <w:lang w:val="zh-CN" w:eastAsia="zh-CN"/>
        </w:rPr>
        <w:t>我单位严格按预算执行决算。</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Times New Roman" w:hAnsi="Times New Roman" w:eastAsia="仿宋_GB2312"/>
          <w:sz w:val="32"/>
          <w:szCs w:val="32"/>
          <w:highlight w:val="none"/>
          <w:lang w:val="zh-CN" w:eastAsia="zh-CN"/>
        </w:rPr>
        <w:t>社会保障和就业支出（类）</w:t>
      </w:r>
      <w:r>
        <w:rPr>
          <w:rFonts w:hint="eastAsia" w:ascii="Times New Roman" w:hAnsi="Times New Roman" w:eastAsia="仿宋_GB2312"/>
          <w:sz w:val="32"/>
          <w:szCs w:val="32"/>
          <w:highlight w:val="none"/>
          <w:lang w:val="en-US" w:eastAsia="zh-CN"/>
        </w:rPr>
        <w:t>其他社会保障和就业支出（款） 其他社会保障和就业支出（项）。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0.22</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0.22</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年初预算数的主要原因是</w:t>
      </w:r>
      <w:r>
        <w:rPr>
          <w:rFonts w:hint="eastAsia" w:ascii="Times New Roman" w:hAnsi="Times New Roman" w:eastAsia="仿宋_GB2312"/>
          <w:sz w:val="32"/>
          <w:szCs w:val="32"/>
          <w:highlight w:val="none"/>
          <w:lang w:val="zh-CN" w:eastAsia="zh-CN"/>
        </w:rPr>
        <w:t>我单位严格按预算执行决算。</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lang w:val="zh-CN" w:eastAsia="zh-CN"/>
        </w:rPr>
        <w:t>卫生健康支出（类）行政事业单位医疗（款）事业单位医疗（项）。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7.47</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7.47</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lang w:val="zh-CN" w:eastAsia="zh-CN"/>
        </w:rPr>
        <w:t>节能环保支出（类）</w:t>
      </w:r>
      <w:r>
        <w:rPr>
          <w:rFonts w:hint="eastAsia" w:ascii="Times New Roman" w:hAnsi="Times New Roman" w:eastAsia="仿宋_GB2312"/>
          <w:sz w:val="32"/>
          <w:szCs w:val="32"/>
          <w:highlight w:val="none"/>
          <w:lang w:val="en-US" w:eastAsia="zh-CN"/>
        </w:rPr>
        <w:t>其他节能环保支出</w:t>
      </w:r>
      <w:r>
        <w:rPr>
          <w:rFonts w:hint="eastAsia" w:ascii="Times New Roman" w:hAnsi="Times New Roman" w:eastAsia="仿宋_GB2312"/>
          <w:sz w:val="32"/>
          <w:szCs w:val="32"/>
          <w:highlight w:val="none"/>
          <w:lang w:val="zh-CN" w:eastAsia="zh-CN"/>
        </w:rPr>
        <w:t>（款）其他节能环保支出（项）。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该支出使用的是上年结转专项资金</w:t>
      </w:r>
      <w:r>
        <w:rPr>
          <w:rFonts w:hint="eastAsia" w:ascii="Times New Roman" w:hAnsi="Times New Roman" w:eastAsia="仿宋_GB2312"/>
          <w:sz w:val="32"/>
          <w:szCs w:val="32"/>
          <w:highlight w:val="none"/>
          <w:lang w:val="zh-CN"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lang w:val="zh-CN" w:eastAsia="zh-CN"/>
        </w:rPr>
        <w:t>农林水支出（类）农业农村（款）事业运行（项）。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101.51</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101.15</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完成年初预算的99.65%，</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小于年初</w:t>
      </w:r>
      <w:r>
        <w:rPr>
          <w:rFonts w:hint="eastAsia" w:ascii="Times New Roman" w:hAnsi="Times New Roman" w:eastAsia="仿宋_GB2312"/>
          <w:sz w:val="32"/>
          <w:szCs w:val="32"/>
          <w:highlight w:val="none"/>
          <w:lang w:val="zh-CN" w:eastAsia="zh-CN"/>
        </w:rPr>
        <w:t>预算数的</w:t>
      </w:r>
      <w:r>
        <w:rPr>
          <w:rFonts w:hint="eastAsia" w:ascii="Times New Roman" w:hAnsi="Times New Roman" w:eastAsia="仿宋_GB2312"/>
          <w:sz w:val="32"/>
          <w:szCs w:val="32"/>
          <w:highlight w:val="none"/>
          <w:lang w:val="en-US" w:eastAsia="zh-CN"/>
        </w:rPr>
        <w:t>主要原因是</w:t>
      </w:r>
      <w:r>
        <w:rPr>
          <w:rFonts w:hint="eastAsia" w:ascii="Times New Roman" w:hAnsi="Times New Roman" w:eastAsia="仿宋_GB2312"/>
          <w:sz w:val="32"/>
          <w:szCs w:val="32"/>
          <w:highlight w:val="none"/>
          <w:lang w:val="zh-CN" w:eastAsia="zh-CN"/>
        </w:rPr>
        <w:t>工会经费财政代扣</w:t>
      </w:r>
      <w:r>
        <w:rPr>
          <w:rFonts w:hint="eastAsia" w:ascii="Times New Roman" w:hAnsi="Times New Roman" w:eastAsia="仿宋_GB2312"/>
          <w:sz w:val="32"/>
          <w:szCs w:val="32"/>
          <w:highlight w:val="none"/>
          <w:lang w:val="en-US" w:eastAsia="zh-CN"/>
        </w:rPr>
        <w:t>0.36</w:t>
      </w:r>
      <w:r>
        <w:rPr>
          <w:rFonts w:hint="eastAsia" w:ascii="Times New Roman" w:hAnsi="Times New Roman" w:eastAsia="仿宋_GB2312"/>
          <w:sz w:val="32"/>
          <w:szCs w:val="32"/>
          <w:highlight w:val="none"/>
          <w:lang w:val="zh-CN" w:eastAsia="zh-CN"/>
        </w:rPr>
        <w:t>万元。</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农业资源保护修复与利用</w:t>
      </w:r>
      <w:r>
        <w:rPr>
          <w:rFonts w:hint="eastAsia" w:ascii="Times New Roman" w:hAnsi="Times New Roman" w:eastAsia="仿宋_GB2312"/>
          <w:sz w:val="32"/>
          <w:szCs w:val="32"/>
          <w:highlight w:val="none"/>
          <w:lang w:val="zh-CN" w:eastAsia="zh-CN"/>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21.29</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该支出使用的是上年结转专项资金。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渔业发展</w:t>
      </w:r>
      <w:r>
        <w:rPr>
          <w:rFonts w:hint="eastAsia" w:ascii="Times New Roman" w:hAnsi="Times New Roman" w:eastAsia="仿宋_GB2312"/>
          <w:sz w:val="32"/>
          <w:szCs w:val="32"/>
          <w:highlight w:val="none"/>
          <w:lang w:val="zh-CN" w:eastAsia="zh-CN"/>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29.76</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该支出使用的是年中审批专项资金</w:t>
      </w:r>
      <w:r>
        <w:rPr>
          <w:rFonts w:hint="eastAsia" w:ascii="Times New Roman" w:hAnsi="Times New Roman" w:eastAsia="仿宋_GB2312"/>
          <w:sz w:val="32"/>
          <w:szCs w:val="32"/>
          <w:highlight w:val="none"/>
          <w:lang w:val="zh-CN" w:eastAsia="zh-CN"/>
        </w:rPr>
        <w:t>和</w:t>
      </w:r>
      <w:r>
        <w:rPr>
          <w:rFonts w:hint="eastAsia" w:ascii="Times New Roman" w:hAnsi="Times New Roman" w:eastAsia="仿宋_GB2312"/>
          <w:sz w:val="32"/>
          <w:szCs w:val="32"/>
          <w:highlight w:val="none"/>
          <w:lang w:val="en-US" w:eastAsia="zh-CN"/>
        </w:rPr>
        <w:t>专项转移支付资金。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lang w:val="zh-CN" w:eastAsia="zh-CN"/>
        </w:rPr>
        <w:t>农林水支出（类）农业农村（款）其他农业农村支出（项）。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201.82</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预算数的主要原因是该支出使用的是</w:t>
      </w:r>
      <w:r>
        <w:rPr>
          <w:rFonts w:hint="eastAsia" w:ascii="Times New Roman" w:hAnsi="Times New Roman" w:eastAsia="仿宋_GB2312"/>
          <w:sz w:val="32"/>
          <w:szCs w:val="32"/>
          <w:highlight w:val="none"/>
          <w:lang w:val="en-US" w:eastAsia="zh-CN"/>
        </w:rPr>
        <w:t>年中审批专项资金</w:t>
      </w:r>
      <w:r>
        <w:rPr>
          <w:rFonts w:hint="eastAsia" w:ascii="Times New Roman" w:hAnsi="Times New Roman" w:eastAsia="仿宋_GB2312"/>
          <w:sz w:val="32"/>
          <w:szCs w:val="32"/>
          <w:highlight w:val="none"/>
          <w:lang w:val="zh-CN" w:eastAsia="zh-CN"/>
        </w:rPr>
        <w:t xml:space="preserve">。 </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10、</w:t>
      </w:r>
      <w:r>
        <w:rPr>
          <w:rFonts w:hint="eastAsia" w:ascii="Times New Roman" w:hAnsi="Times New Roman" w:eastAsia="仿宋_GB2312"/>
          <w:sz w:val="32"/>
          <w:szCs w:val="32"/>
          <w:highlight w:val="none"/>
          <w:lang w:val="zh-CN"/>
        </w:rPr>
        <w:t>自然资源海洋气象等支出</w:t>
      </w:r>
      <w:r>
        <w:rPr>
          <w:rFonts w:hint="eastAsia" w:ascii="Times New Roman" w:hAnsi="Times New Roman" w:eastAsia="仿宋_GB2312"/>
          <w:sz w:val="32"/>
          <w:szCs w:val="32"/>
          <w:highlight w:val="none"/>
          <w:lang w:val="zh-CN" w:eastAsia="zh-CN"/>
        </w:rPr>
        <w:t>（类）自然资源事务（款）其他自然资源事务支出（项）。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648.84</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该支出使用的是专项转移支付资金。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en-US" w:eastAsia="zh-CN"/>
        </w:rPr>
        <w:t>11、住房保障支出</w:t>
      </w:r>
      <w:r>
        <w:rPr>
          <w:rFonts w:hint="eastAsia" w:ascii="Times New Roman" w:hAnsi="Times New Roman" w:eastAsia="仿宋_GB2312"/>
          <w:color w:val="auto"/>
          <w:sz w:val="32"/>
          <w:szCs w:val="32"/>
          <w:highlight w:val="none"/>
          <w:lang w:val="zh-CN" w:eastAsia="zh-CN"/>
        </w:rPr>
        <w:t>（类）住房改革</w:t>
      </w:r>
      <w:r>
        <w:rPr>
          <w:rFonts w:hint="eastAsia" w:ascii="Times New Roman" w:hAnsi="Times New Roman" w:eastAsia="仿宋_GB2312"/>
          <w:color w:val="auto"/>
          <w:sz w:val="32"/>
          <w:szCs w:val="32"/>
          <w:highlight w:val="none"/>
          <w:lang w:val="en-US" w:eastAsia="zh-CN"/>
        </w:rPr>
        <w:t>支出</w:t>
      </w:r>
      <w:r>
        <w:rPr>
          <w:rFonts w:hint="eastAsia" w:ascii="Times New Roman" w:hAnsi="Times New Roman" w:eastAsia="仿宋_GB2312"/>
          <w:color w:val="auto"/>
          <w:sz w:val="32"/>
          <w:szCs w:val="32"/>
          <w:highlight w:val="none"/>
          <w:lang w:val="zh-CN" w:eastAsia="zh-CN"/>
        </w:rPr>
        <w:t>（款）</w:t>
      </w:r>
      <w:r>
        <w:rPr>
          <w:rFonts w:hint="eastAsia" w:ascii="Times New Roman" w:hAnsi="Times New Roman" w:eastAsia="仿宋_GB2312"/>
          <w:color w:val="auto"/>
          <w:sz w:val="32"/>
          <w:szCs w:val="32"/>
          <w:highlight w:val="none"/>
          <w:lang w:val="en-US" w:eastAsia="zh-CN"/>
        </w:rPr>
        <w:t>住房公积金</w:t>
      </w:r>
      <w:r>
        <w:rPr>
          <w:rFonts w:hint="eastAsia" w:ascii="Times New Roman" w:hAnsi="Times New Roman" w:eastAsia="仿宋_GB2312"/>
          <w:color w:val="auto"/>
          <w:sz w:val="32"/>
          <w:szCs w:val="32"/>
          <w:highlight w:val="none"/>
          <w:lang w:val="zh-CN" w:eastAsia="zh-CN"/>
        </w:rPr>
        <w:t>（项）。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Times New Roman" w:hAnsi="Times New Roman" w:eastAsia="仿宋_GB2312"/>
          <w:color w:val="auto"/>
          <w:sz w:val="32"/>
          <w:szCs w:val="32"/>
          <w:highlight w:val="none"/>
          <w:lang w:val="zh-CN" w:eastAsia="zh-CN"/>
        </w:rPr>
        <w:t>年初预算为</w:t>
      </w:r>
      <w:r>
        <w:rPr>
          <w:rFonts w:hint="eastAsia" w:ascii="Times New Roman" w:hAnsi="Times New Roman" w:eastAsia="仿宋_GB2312"/>
          <w:color w:val="auto"/>
          <w:sz w:val="32"/>
          <w:szCs w:val="32"/>
          <w:highlight w:val="none"/>
          <w:lang w:val="en-US" w:eastAsia="zh-CN"/>
        </w:rPr>
        <w:t>9.28</w:t>
      </w:r>
      <w:r>
        <w:rPr>
          <w:rFonts w:hint="eastAsia" w:ascii="Times New Roman" w:hAnsi="Times New Roman" w:eastAsia="仿宋_GB2312"/>
          <w:color w:val="auto"/>
          <w:sz w:val="32"/>
          <w:szCs w:val="32"/>
          <w:highlight w:val="none"/>
          <w:lang w:val="zh-CN" w:eastAsia="zh-CN"/>
        </w:rPr>
        <w:t>万元，支出决算为</w:t>
      </w:r>
      <w:r>
        <w:rPr>
          <w:rFonts w:hint="eastAsia" w:ascii="Times New Roman" w:hAnsi="Times New Roman" w:eastAsia="仿宋_GB2312"/>
          <w:color w:val="auto"/>
          <w:sz w:val="32"/>
          <w:szCs w:val="32"/>
          <w:highlight w:val="none"/>
          <w:lang w:val="en-US" w:eastAsia="zh-CN"/>
        </w:rPr>
        <w:t>9.28</w:t>
      </w:r>
      <w:r>
        <w:rPr>
          <w:rFonts w:hint="eastAsia" w:ascii="Times New Roman" w:hAnsi="Times New Roman" w:eastAsia="仿宋_GB2312"/>
          <w:color w:val="auto"/>
          <w:sz w:val="32"/>
          <w:szCs w:val="32"/>
          <w:highlight w:val="none"/>
          <w:lang w:val="zh-CN" w:eastAsia="zh-CN"/>
        </w:rPr>
        <w:t>万元，</w:t>
      </w:r>
      <w:r>
        <w:rPr>
          <w:rFonts w:hint="eastAsia" w:ascii="Times New Roman" w:hAnsi="Times New Roman" w:eastAsia="仿宋_GB2312"/>
          <w:color w:val="auto"/>
          <w:sz w:val="32"/>
          <w:szCs w:val="32"/>
          <w:highlight w:val="none"/>
          <w:lang w:val="en-US" w:eastAsia="zh-CN"/>
        </w:rPr>
        <w:t>完成年初预算的100%，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年初预算数的主要原因是</w:t>
      </w:r>
      <w:r>
        <w:rPr>
          <w:rFonts w:hint="eastAsia" w:ascii="Times New Roman" w:hAnsi="Times New Roman" w:eastAsia="仿宋_GB2312"/>
          <w:sz w:val="32"/>
          <w:szCs w:val="32"/>
          <w:highlight w:val="none"/>
          <w:lang w:val="zh-CN" w:eastAsia="zh-CN"/>
        </w:rPr>
        <w:t>我单位严格按预算执行决算。</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145.91</w:t>
      </w:r>
      <w:r>
        <w:rPr>
          <w:rFonts w:hint="eastAsia" w:ascii="仿宋_GB2312" w:hAnsi="仿宋_GB2312" w:eastAsia="仿宋_GB2312" w:cs="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136.66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93.66</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、绩效工资、机关事业单位基本养老保险缴费、职工基本医疗保险缴费、其他社会保障缴费、住房公积金、退休费、医疗费补助、其他对个人和家庭的补助。</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9.26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6.34</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lang w:val="en-US" w:eastAsia="zh-CN" w:bidi="ar-SA"/>
        </w:rPr>
        <w:t>主要包括办公费、水费、电费、邮电费、公务接待费、工会经费 、</w:t>
      </w:r>
      <w:r>
        <w:rPr>
          <w:rFonts w:hint="eastAsia" w:ascii="仿宋_GB2312" w:hAnsi="仿宋_GB2312" w:eastAsia="仿宋_GB2312" w:cs="仿宋_GB2312"/>
          <w:sz w:val="32"/>
          <w:szCs w:val="32"/>
          <w:lang w:val="en-US" w:eastAsia="zh-CN"/>
        </w:rPr>
        <w:t>福利费、其他商品和服务支出</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2024年度国有资本经营预算财政拨款收入0万元；年初结转和结余0万元；支出0万元，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3"/>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（一）</w:t>
      </w:r>
      <w:r>
        <w:rPr>
          <w:rFonts w:hint="eastAsia" w:ascii="Times New Roman" w:hAnsi="Times New Roman" w:eastAsia="楷体_GB2312" w:cs="Times New Roman"/>
          <w:b/>
          <w:color w:val="auto"/>
          <w:sz w:val="32"/>
          <w:szCs w:val="32"/>
          <w:lang w:eastAsia="zh-CN"/>
        </w:rPr>
        <w:t>“三公”</w:t>
      </w:r>
      <w:r>
        <w:rPr>
          <w:rFonts w:ascii="Times New Roman" w:hAnsi="Times New Roman" w:eastAsia="楷体_GB2312" w:cs="Times New Roman"/>
          <w:b/>
          <w:color w:val="auto"/>
          <w:sz w:val="32"/>
          <w:szCs w:val="32"/>
        </w:rPr>
        <w:t>经费财政拨款支出决算总体情况说明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2024年度“三公”经费财政拨款支出预算为</w:t>
      </w:r>
      <w:r>
        <w:rPr>
          <w:rFonts w:hint="eastAsia" w:ascii="Times New Roman" w:hAnsi="Times New Roman" w:eastAsia="仿宋_GB2312" w:cs="Times New Roman"/>
          <w:color w:val="auto"/>
          <w:sz w:val="32"/>
          <w:szCs w:val="32"/>
          <w:lang w:val="en-US" w:eastAsia="zh-CN"/>
        </w:rPr>
        <w:t>1.50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0.52</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34.67</w:t>
      </w:r>
      <w:r>
        <w:rPr>
          <w:rFonts w:ascii="Times New Roman" w:hAnsi="Times New Roman" w:eastAsia="仿宋_GB2312" w:cs="Times New Roman"/>
          <w:color w:val="auto"/>
          <w:sz w:val="32"/>
          <w:szCs w:val="32"/>
        </w:rPr>
        <w:t>%；与上年相比减少</w:t>
      </w:r>
      <w:r>
        <w:rPr>
          <w:rFonts w:hint="eastAsia" w:ascii="Times New Roman" w:hAnsi="Times New Roman" w:eastAsia="仿宋_GB2312" w:cs="Times New Roman"/>
          <w:color w:val="auto"/>
          <w:sz w:val="32"/>
          <w:szCs w:val="32"/>
          <w:lang w:val="en-US" w:eastAsia="zh-CN"/>
        </w:rPr>
        <w:t>0.32</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38.10</w:t>
      </w:r>
      <w:r>
        <w:rPr>
          <w:rFonts w:ascii="Times New Roman" w:hAnsi="Times New Roman" w:eastAsia="仿宋_GB2312" w:cs="Times New Roman"/>
          <w:color w:val="auto"/>
          <w:sz w:val="32"/>
          <w:szCs w:val="32"/>
        </w:rPr>
        <w:t>%。决算数小于预算数的主要原因是</w:t>
      </w:r>
      <w:r>
        <w:rPr>
          <w:rFonts w:hint="eastAsia" w:ascii="Times New Roman" w:hAnsi="Times New Roman" w:eastAsia="仿宋_GB2312" w:cs="Times New Roman"/>
          <w:color w:val="auto"/>
          <w:sz w:val="32"/>
          <w:szCs w:val="32"/>
          <w:lang w:val="en-US" w:eastAsia="zh-CN"/>
        </w:rPr>
        <w:t>按有关政策厉行节约，严控“三公经费”支出</w:t>
      </w:r>
      <w:r>
        <w:rPr>
          <w:rFonts w:ascii="Times New Roman" w:hAnsi="Times New Roman" w:eastAsia="仿宋_GB2312" w:cs="Times New Roman"/>
          <w:color w:val="auto"/>
          <w:sz w:val="32"/>
          <w:szCs w:val="32"/>
        </w:rPr>
        <w:t>。决算数小于上年数的主要原因是</w:t>
      </w:r>
      <w:r>
        <w:rPr>
          <w:rFonts w:hint="eastAsia" w:ascii="Times New Roman" w:hAnsi="Times New Roman" w:eastAsia="仿宋_GB2312" w:cs="Times New Roman"/>
          <w:color w:val="auto"/>
          <w:sz w:val="32"/>
          <w:szCs w:val="32"/>
          <w:lang w:val="en-US" w:eastAsia="zh-CN"/>
        </w:rPr>
        <w:t>按有关政策厉行节约，严控“三公经费”支出。</w:t>
      </w:r>
    </w:p>
    <w:p>
      <w:pPr>
        <w:pStyle w:val="13"/>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（二）</w:t>
      </w:r>
      <w:r>
        <w:rPr>
          <w:rFonts w:hint="eastAsia" w:ascii="Times New Roman" w:hAnsi="Times New Roman" w:eastAsia="楷体_GB2312" w:cs="Times New Roman"/>
          <w:b/>
          <w:color w:val="auto"/>
          <w:sz w:val="32"/>
          <w:szCs w:val="32"/>
          <w:lang w:eastAsia="zh-CN"/>
        </w:rPr>
        <w:t>“三公”</w:t>
      </w:r>
      <w:r>
        <w:rPr>
          <w:rFonts w:ascii="Times New Roman" w:hAnsi="Times New Roman" w:eastAsia="楷体_GB2312" w:cs="Times New Roman"/>
          <w:b/>
          <w:color w:val="auto"/>
          <w:sz w:val="32"/>
          <w:szCs w:val="32"/>
        </w:rPr>
        <w:t>经费财政拨款支出决算具体情况说明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lang w:val="en-US" w:eastAsia="zh-CN"/>
        </w:rPr>
        <w:t xml:space="preserve"> </w:t>
      </w:r>
      <w:r>
        <w:rPr>
          <w:rFonts w:ascii="Times New Roman" w:hAnsi="Times New Roman" w:eastAsia="仿宋_GB2312" w:cs="Times New Roman"/>
          <w:color w:val="auto"/>
          <w:sz w:val="32"/>
          <w:szCs w:val="32"/>
        </w:rPr>
        <w:t>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hint="eastAsia" w:ascii="Times New Roman" w:hAnsi="Times New Roman" w:eastAsia="仿宋_GB2312" w:cs="Times New Roman"/>
          <w:color w:val="auto"/>
          <w:sz w:val="32"/>
          <w:szCs w:val="32"/>
          <w:lang w:val="en-US" w:eastAsia="zh-CN"/>
        </w:rPr>
        <w:t>，主要原因是我单位严格按预算执行决算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与上年一致，无增减变动，主要原因是未安排因公出国（境）活动。</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lang w:val="en-US" w:eastAsia="zh-CN"/>
        </w:rPr>
        <w:t xml:space="preserve"> </w:t>
      </w:r>
      <w:r>
        <w:rPr>
          <w:rFonts w:ascii="Times New Roman" w:hAnsi="Times New Roman" w:eastAsia="仿宋_GB2312" w:cs="Times New Roman"/>
          <w:color w:val="auto"/>
          <w:sz w:val="32"/>
          <w:szCs w:val="32"/>
        </w:rPr>
        <w:t>公务用车购置费及运行维护费支出预算为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决算数等于预算数</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w:t>
      </w:r>
      <w:r>
        <w:rPr>
          <w:rFonts w:ascii="Times New Roman" w:hAnsi="Times New Roman" w:eastAsia="仿宋_GB2312" w:cs="Times New Roman"/>
          <w:color w:val="auto"/>
          <w:sz w:val="32"/>
          <w:szCs w:val="32"/>
        </w:rPr>
        <w:t>。其中：</w:t>
      </w:r>
    </w:p>
    <w:p>
      <w:pPr>
        <w:pStyle w:val="13"/>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决算数等于预算数，主要原因是我单位严格按预算执行决算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与上年一致，无增减变动，主要原因是两年均未购置公务用车。本单位</w:t>
      </w:r>
      <w:r>
        <w:rPr>
          <w:rFonts w:ascii="Times New Roman" w:hAnsi="Times New Roman" w:eastAsia="仿宋_GB2312" w:cs="Times New Roman"/>
          <w:color w:val="auto"/>
          <w:sz w:val="32"/>
          <w:szCs w:val="32"/>
        </w:rPr>
        <w:t>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eastAsia="zh-CN"/>
        </w:rPr>
        <w:t>。</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公</w:t>
      </w:r>
      <w:r>
        <w:rPr>
          <w:rFonts w:ascii="Times New Roman" w:hAnsi="Times New Roman" w:eastAsia="仿宋_GB2312" w:cs="Times New Roman"/>
          <w:color w:val="auto"/>
          <w:sz w:val="32"/>
          <w:szCs w:val="32"/>
        </w:rPr>
        <w:t>务用车运行维护费支出预算为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 xml:space="preserve">决算数等于预算数，主要原因是我单位严格按预算执行决算；与上年一致，无增减变动，主要原因是两年均无公务用车需要运行维护。 </w:t>
      </w:r>
      <w:r>
        <w:rPr>
          <w:rFonts w:ascii="Times New Roman" w:hAnsi="Times New Roman" w:eastAsia="仿宋_GB2312" w:cs="Times New Roman"/>
          <w:color w:val="auto"/>
          <w:sz w:val="32"/>
          <w:szCs w:val="32"/>
        </w:rPr>
        <w:t>截止</w:t>
      </w:r>
      <w:r>
        <w:rPr>
          <w:rFonts w:hint="eastAsia" w:ascii="Times New Roman" w:hAnsi="Times New Roman" w:eastAsia="仿宋_GB2312" w:cs="Times New Roman"/>
          <w:color w:val="auto"/>
          <w:sz w:val="32"/>
          <w:szCs w:val="32"/>
          <w:lang w:eastAsia="zh-CN"/>
        </w:rPr>
        <w:t>到</w:t>
      </w:r>
      <w:r>
        <w:rPr>
          <w:rFonts w:ascii="Times New Roman" w:hAnsi="Times New Roman" w:eastAsia="仿宋_GB2312" w:cs="Times New Roman"/>
          <w:color w:val="auto"/>
          <w:sz w:val="32"/>
          <w:szCs w:val="32"/>
        </w:rPr>
        <w:t>2024年12月31日，我单位开支财政拨款的公务用车保有量为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numPr>
          <w:ilvl w:val="0"/>
          <w:numId w:val="2"/>
        </w:numPr>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公务接待费支出预算为</w:t>
      </w:r>
      <w:r>
        <w:rPr>
          <w:rFonts w:hint="eastAsia" w:ascii="Times New Roman" w:hAnsi="Times New Roman" w:eastAsia="仿宋_GB2312" w:cs="Times New Roman"/>
          <w:color w:val="auto"/>
          <w:sz w:val="32"/>
          <w:szCs w:val="32"/>
          <w:lang w:val="en-US" w:eastAsia="zh-CN"/>
        </w:rPr>
        <w:t>1.50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0.52</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34.67</w:t>
      </w:r>
      <w:r>
        <w:rPr>
          <w:rFonts w:ascii="Times New Roman" w:hAnsi="Times New Roman" w:eastAsia="仿宋_GB2312" w:cs="Times New Roman"/>
          <w:color w:val="auto"/>
          <w:sz w:val="32"/>
          <w:szCs w:val="32"/>
        </w:rPr>
        <w:t>%；与上年相比减少</w:t>
      </w:r>
      <w:r>
        <w:rPr>
          <w:rFonts w:hint="eastAsia" w:ascii="Times New Roman" w:hAnsi="Times New Roman" w:eastAsia="仿宋_GB2312" w:cs="Times New Roman"/>
          <w:color w:val="auto"/>
          <w:sz w:val="32"/>
          <w:szCs w:val="32"/>
          <w:lang w:val="en-US" w:eastAsia="zh-CN"/>
        </w:rPr>
        <w:t>0.32</w:t>
      </w:r>
      <w:r>
        <w:rPr>
          <w:rFonts w:ascii="Times New Roman" w:hAnsi="Times New Roman" w:eastAsia="仿宋_GB2312" w:cs="Times New Roman"/>
          <w:color w:val="auto"/>
          <w:sz w:val="32"/>
          <w:szCs w:val="32"/>
        </w:rPr>
        <w:t>万元，降低</w:t>
      </w:r>
      <w:r>
        <w:rPr>
          <w:rFonts w:hint="eastAsia" w:ascii="Times New Roman" w:hAnsi="Times New Roman" w:eastAsia="仿宋_GB2312" w:cs="Times New Roman"/>
          <w:color w:val="auto"/>
          <w:sz w:val="32"/>
          <w:szCs w:val="32"/>
          <w:lang w:val="en-US" w:eastAsia="zh-CN"/>
        </w:rPr>
        <w:t>38.10</w:t>
      </w:r>
      <w:r>
        <w:rPr>
          <w:rFonts w:ascii="Times New Roman" w:hAnsi="Times New Roman" w:eastAsia="仿宋_GB2312" w:cs="Times New Roman"/>
          <w:color w:val="auto"/>
          <w:sz w:val="32"/>
          <w:szCs w:val="32"/>
        </w:rPr>
        <w:t>%。决算数小于预算数的主要原因是</w:t>
      </w:r>
      <w:r>
        <w:rPr>
          <w:rFonts w:hint="eastAsia" w:ascii="Times New Roman" w:hAnsi="Times New Roman" w:eastAsia="仿宋_GB2312" w:cs="Times New Roman"/>
          <w:color w:val="auto"/>
          <w:sz w:val="32"/>
          <w:szCs w:val="32"/>
          <w:lang w:val="en-US" w:eastAsia="zh-CN"/>
        </w:rPr>
        <w:t>按有关政策厉行节约，严控公务接待支出</w:t>
      </w:r>
      <w:r>
        <w:rPr>
          <w:rFonts w:ascii="Times New Roman" w:hAnsi="Times New Roman" w:eastAsia="仿宋_GB2312" w:cs="Times New Roman"/>
          <w:color w:val="auto"/>
          <w:sz w:val="32"/>
          <w:szCs w:val="32"/>
        </w:rPr>
        <w:t>。决算数小于上年数的主要原因是</w:t>
      </w:r>
      <w:r>
        <w:rPr>
          <w:rFonts w:hint="eastAsia" w:ascii="Times New Roman" w:hAnsi="Times New Roman" w:eastAsia="仿宋_GB2312" w:cs="Times New Roman"/>
          <w:color w:val="auto"/>
          <w:sz w:val="32"/>
          <w:szCs w:val="32"/>
          <w:lang w:val="en-US" w:eastAsia="zh-CN"/>
        </w:rPr>
        <w:t>按有关政策厉行节约，严控公务接待支出</w:t>
      </w: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27</w:t>
      </w:r>
      <w:r>
        <w:rPr>
          <w:rFonts w:ascii="Times New Roman" w:hAnsi="Times New Roman" w:eastAsia="仿宋_GB2312" w:cs="Times New Roman"/>
          <w:color w:val="auto"/>
          <w:sz w:val="32"/>
          <w:szCs w:val="32"/>
        </w:rPr>
        <w:t>人次，主要是</w:t>
      </w:r>
      <w:r>
        <w:rPr>
          <w:rFonts w:hint="eastAsia" w:ascii="Times New Roman" w:hAnsi="Times New Roman" w:eastAsia="仿宋_GB2312"/>
          <w:color w:val="auto"/>
          <w:sz w:val="32"/>
          <w:szCs w:val="32"/>
          <w:highlight w:val="none"/>
          <w:lang w:eastAsia="zh-CN"/>
        </w:rPr>
        <w:t>迎接部省关于长江江豚保护及水生生物保护区调研等活动</w:t>
      </w:r>
      <w:r>
        <w:rPr>
          <w:rFonts w:hint="eastAsia" w:ascii="Times New Roman" w:hAnsi="Times New Roman" w:eastAsia="仿宋_GB2312"/>
          <w:color w:val="auto"/>
          <w:sz w:val="32"/>
          <w:szCs w:val="32"/>
          <w:highlight w:val="none"/>
        </w:rPr>
        <w:t>发生的接待支出。</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b w:val="0"/>
          <w:bCs/>
          <w:color w:val="auto"/>
          <w:sz w:val="32"/>
          <w:szCs w:val="32"/>
          <w:lang w:val="en-US" w:eastAsia="zh-CN"/>
        </w:rPr>
        <w:t>本级和所属单位均为事业单位，按照机关运行经费的口径，本年度机关运行经费为0。</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771.36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22.72</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618.68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129.96</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696.46</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90.29</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87.98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12.63</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42.37</w:t>
      </w:r>
      <w:r>
        <w:rPr>
          <w:rFonts w:hint="eastAsia" w:ascii="仿宋_GB2312" w:hAnsi="仿宋_GB2312" w:eastAsia="仿宋_GB2312" w:cs="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color w:val="auto"/>
          <w:sz w:val="32"/>
          <w:szCs w:val="32"/>
          <w:lang w:val="en-US" w:eastAsia="zh-CN"/>
        </w:rPr>
        <w:t>截至2024年12月31日，本单位共有车辆0辆，其中，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r>
        <w:rPr>
          <w:rFonts w:hint="eastAsia" w:ascii="仿宋_GB2312" w:hAnsi="仿宋_GB2312" w:eastAsia="仿宋_GB2312" w:cs="仿宋_GB2312"/>
          <w:color w:val="auto"/>
          <w:sz w:val="32"/>
          <w:szCs w:val="32"/>
          <w:lang w:eastAsia="zh-CN"/>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keepNext w:val="0"/>
        <w:keepLines w:val="0"/>
        <w:pageBreakBefore w:val="0"/>
        <w:widowControl w:val="0"/>
        <w:kinsoku/>
        <w:wordWrap/>
        <w:overflowPunct w:val="0"/>
        <w:topLinePunct w:val="0"/>
        <w:autoSpaceDE/>
        <w:autoSpaceDN/>
        <w:bidi w:val="0"/>
        <w:adjustRightInd/>
        <w:spacing w:line="600" w:lineRule="exact"/>
        <w:ind w:firstLine="640" w:firstLineChars="200"/>
        <w:textAlignment w:val="auto"/>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highlight w:val="none"/>
        </w:rPr>
        <w:t>组织对2024年度本单位整体支出开展绩效自评，涉及项目</w:t>
      </w:r>
      <w:r>
        <w:rPr>
          <w:rFonts w:hint="eastAsia" w:ascii="Times New Roman" w:hAnsi="Times New Roman" w:eastAsia="仿宋_GB2312" w:cs="Times New Roman"/>
          <w:kern w:val="0"/>
          <w:sz w:val="32"/>
          <w:szCs w:val="32"/>
          <w:highlight w:val="none"/>
          <w:lang w:val="en-US" w:eastAsia="zh-CN"/>
        </w:rPr>
        <w:t>8</w:t>
      </w:r>
      <w:r>
        <w:rPr>
          <w:rFonts w:ascii="Times New Roman" w:hAnsi="Times New Roman" w:eastAsia="仿宋_GB2312" w:cs="Times New Roman"/>
          <w:kern w:val="0"/>
          <w:sz w:val="32"/>
          <w:szCs w:val="32"/>
          <w:highlight w:val="none"/>
        </w:rPr>
        <w:t xml:space="preserve"> 个，共涉及资金</w:t>
      </w:r>
      <w:r>
        <w:rPr>
          <w:rFonts w:hint="eastAsia" w:ascii="Times New Roman" w:hAnsi="Times New Roman" w:eastAsia="仿宋_GB2312" w:cs="Times New Roman"/>
          <w:kern w:val="0"/>
          <w:sz w:val="32"/>
          <w:szCs w:val="32"/>
          <w:highlight w:val="none"/>
          <w:lang w:val="en-US" w:eastAsia="zh-CN"/>
        </w:rPr>
        <w:t>1043.72</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8</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896.59</w:t>
      </w:r>
      <w:r>
        <w:rPr>
          <w:rFonts w:ascii="Times New Roman" w:hAnsi="Times New Roman" w:eastAsia="仿宋_GB2312" w:cs="Times New Roman"/>
          <w:kern w:val="0"/>
          <w:sz w:val="32"/>
          <w:szCs w:val="32"/>
          <w:highlight w:val="none"/>
        </w:rPr>
        <w:t>万元，</w:t>
      </w:r>
      <w:r>
        <w:rPr>
          <w:rFonts w:ascii="Times New Roman" w:hAnsi="Times New Roman" w:eastAsia="仿宋_GB2312" w:cs="Times New Roman"/>
          <w:kern w:val="0"/>
          <w:sz w:val="32"/>
          <w:szCs w:val="32"/>
        </w:rPr>
        <w:t>占一般公共预算支出总额的</w:t>
      </w:r>
      <w:r>
        <w:rPr>
          <w:rFonts w:hint="eastAsia" w:ascii="Times New Roman" w:hAnsi="Times New Roman" w:eastAsia="仿宋_GB2312" w:cs="Times New Roman"/>
          <w:kern w:val="0"/>
          <w:sz w:val="32"/>
          <w:szCs w:val="32"/>
          <w:lang w:val="en-US" w:eastAsia="zh-CN"/>
        </w:rPr>
        <w:t>86.00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sz w:val="32"/>
          <w:szCs w:val="32"/>
        </w:rPr>
        <w:t>由于政府性基金预算支出总额为0，故无法计算占政府性基金预算支出总额的比重</w:t>
      </w:r>
      <w:r>
        <w:rPr>
          <w:rFonts w:hint="eastAsia" w:ascii="仿宋_GB2312" w:hAnsi="仿宋_GB2312" w:eastAsia="仿宋_GB2312" w:cs="仿宋_GB2312"/>
          <w:sz w:val="32"/>
          <w:szCs w:val="32"/>
          <w:lang w:eastAsia="zh-CN"/>
        </w:rPr>
        <w:t>）</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lang w:eastAsia="zh-CN"/>
        </w:rPr>
        <w:t>（</w:t>
      </w:r>
      <w:r>
        <w:rPr>
          <w:rFonts w:hint="eastAsia" w:ascii="仿宋_GB2312" w:hAnsi="仿宋_GB2312" w:eastAsia="仿宋_GB2312" w:cs="仿宋_GB2312"/>
          <w:sz w:val="32"/>
          <w:szCs w:val="32"/>
        </w:rPr>
        <w:t>由于国有资本经营预算支出总额为0，故无法计算占国有资本经营预算支出总额的比重</w:t>
      </w:r>
      <w:r>
        <w:rPr>
          <w:rFonts w:hint="eastAsia" w:ascii="仿宋_GB2312" w:hAnsi="仿宋_GB2312" w:eastAsia="仿宋_GB2312" w:cs="仿宋_GB2312"/>
          <w:sz w:val="32"/>
          <w:szCs w:val="32"/>
          <w:lang w:eastAsia="zh-CN"/>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r>
        <w:rPr>
          <w:rFonts w:hint="eastAsia" w:ascii="Times New Roman" w:hAnsi="Times New Roman" w:eastAsia="仿宋_GB2312" w:cs="Times New Roman"/>
          <w:kern w:val="0"/>
          <w:sz w:val="32"/>
          <w:szCs w:val="32"/>
          <w:highlight w:val="none"/>
          <w:lang w:eastAsia="zh-CN"/>
        </w:rPr>
        <w:t>（由于</w:t>
      </w:r>
      <w:r>
        <w:rPr>
          <w:rFonts w:ascii="Times New Roman" w:hAnsi="Times New Roman" w:eastAsia="仿宋_GB2312" w:cs="Times New Roman"/>
          <w:kern w:val="0"/>
          <w:sz w:val="32"/>
          <w:szCs w:val="32"/>
          <w:highlight w:val="none"/>
        </w:rPr>
        <w:t>社会保险基金预算支出总额</w:t>
      </w:r>
      <w:r>
        <w:rPr>
          <w:rFonts w:hint="eastAsia" w:ascii="Times New Roman" w:hAnsi="Times New Roman" w:eastAsia="仿宋_GB2312" w:cs="Times New Roman"/>
          <w:kern w:val="0"/>
          <w:sz w:val="32"/>
          <w:szCs w:val="32"/>
          <w:highlight w:val="none"/>
          <w:lang w:eastAsia="zh-CN"/>
        </w:rPr>
        <w:t>为</w:t>
      </w:r>
      <w:r>
        <w:rPr>
          <w:rFonts w:hint="eastAsia" w:ascii="Times New Roman" w:hAnsi="Times New Roman" w:eastAsia="仿宋_GB2312" w:cs="Times New Roman"/>
          <w:kern w:val="0"/>
          <w:sz w:val="32"/>
          <w:szCs w:val="32"/>
          <w:highlight w:val="none"/>
          <w:lang w:val="en-US" w:eastAsia="zh-CN"/>
        </w:rPr>
        <w:t>0，故无法计算占</w:t>
      </w:r>
      <w:r>
        <w:rPr>
          <w:rFonts w:ascii="Times New Roman" w:hAnsi="Times New Roman" w:eastAsia="仿宋_GB2312" w:cs="Times New Roman"/>
          <w:kern w:val="0"/>
          <w:sz w:val="32"/>
          <w:szCs w:val="32"/>
          <w:highlight w:val="none"/>
        </w:rPr>
        <w:t>社会保险基金预算支出总额</w:t>
      </w:r>
      <w:r>
        <w:rPr>
          <w:rFonts w:hint="eastAsia" w:ascii="Times New Roman" w:hAnsi="Times New Roman" w:eastAsia="仿宋_GB2312" w:cs="Times New Roman"/>
          <w:kern w:val="0"/>
          <w:sz w:val="32"/>
          <w:szCs w:val="32"/>
          <w:highlight w:val="none"/>
          <w:lang w:eastAsia="zh-CN"/>
        </w:rPr>
        <w:t>的比重）</w:t>
      </w:r>
      <w:r>
        <w:rPr>
          <w:rFonts w:ascii="Times New Roman" w:hAnsi="Times New Roman" w:eastAsia="仿宋_GB2312" w:cs="Times New Roman"/>
          <w:kern w:val="0"/>
          <w:sz w:val="32"/>
          <w:szCs w:val="32"/>
          <w:highlight w:val="none"/>
        </w:rPr>
        <w:t>。</w:t>
      </w:r>
    </w:p>
    <w:p>
      <w:pPr>
        <w:keepNext w:val="0"/>
        <w:keepLines w:val="0"/>
        <w:pageBreakBefore w:val="0"/>
        <w:widowControl w:val="0"/>
        <w:kinsoku/>
        <w:wordWrap/>
        <w:overflowPunct w:val="0"/>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根据年初预算绩效目标，我单位积极开展各项工作，较好地完成既定目标。全年积极参与配合资源调查和长江江豚生态科学考察；通过加强保护区巡查，对长江江豚主要活动区域适航条件下坚持每天开展一到两次的巡湖</w:t>
      </w:r>
      <w:r>
        <w:rPr>
          <w:rFonts w:hint="eastAsia" w:ascii="Times New Roman" w:hAnsi="Times New Roman" w:eastAsia="仿宋_GB2312" w:cs="Times New Roman"/>
          <w:kern w:val="0"/>
          <w:sz w:val="32"/>
          <w:szCs w:val="32"/>
          <w:lang w:val="en-US" w:eastAsia="zh-CN"/>
        </w:rPr>
        <w:t>,提高长江江豚等珍贵濒危水生生物救护效率</w:t>
      </w:r>
      <w:r>
        <w:rPr>
          <w:rFonts w:hint="eastAsia" w:ascii="Times New Roman" w:hAnsi="Times New Roman" w:eastAsia="仿宋_GB2312" w:cs="Times New Roman"/>
          <w:kern w:val="0"/>
          <w:sz w:val="32"/>
          <w:szCs w:val="32"/>
        </w:rPr>
        <w:t>；通过发放宣传资料、悬挂标语横幅、设置广告宣传牌、公布长江江豚保护救护电话，更换宣传牌、印制宣传手册等方式，广泛宣传水产种质资源保护及长江江豚保护的重要性，提高了社会群众对水产种质资源及长江江豚等水生生物的保护意识和参与度，</w:t>
      </w:r>
      <w:r>
        <w:rPr>
          <w:rFonts w:hint="eastAsia" w:ascii="Times New Roman" w:hAnsi="Times New Roman" w:eastAsia="仿宋_GB2312" w:cs="Times New Roman"/>
          <w:kern w:val="0"/>
          <w:sz w:val="32"/>
          <w:szCs w:val="32"/>
          <w:lang w:val="en-US" w:eastAsia="zh-CN"/>
        </w:rPr>
        <w:t>生态修复项目建设修复了</w:t>
      </w:r>
      <w:r>
        <w:rPr>
          <w:rFonts w:hint="eastAsia" w:ascii="Times New Roman" w:hAnsi="Times New Roman" w:eastAsia="仿宋_GB2312" w:cs="Times New Roman"/>
          <w:kern w:val="0"/>
          <w:sz w:val="32"/>
          <w:szCs w:val="32"/>
        </w:rPr>
        <w:t>长江江豚等水生生物的栖息环境</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国有资产管理规范，账实相符，资产使用率100%；运行成本控制在全年预算内，专款专用，合理合规使用各项资金，保护区管理能力得到了提升，</w:t>
      </w:r>
      <w:r>
        <w:rPr>
          <w:rFonts w:hint="eastAsia" w:ascii="Times New Roman" w:hAnsi="Times New Roman" w:eastAsia="仿宋_GB2312" w:cs="Times New Roman"/>
          <w:kern w:val="0"/>
          <w:sz w:val="32"/>
          <w:szCs w:val="32"/>
        </w:rPr>
        <w:t>促进了生态环境可持续发展</w:t>
      </w:r>
      <w:r>
        <w:rPr>
          <w:rFonts w:hint="eastAsia"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群众满意度高。</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p>
    <w:p>
      <w:pPr>
        <w:overflowPunct w:val="0"/>
        <w:spacing w:line="60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本单位为二级预算单位，部门评价开展情况可详见上级部门决算公开说明。</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p>
    <w:p>
      <w:pPr>
        <w:overflowPunct w:val="0"/>
        <w:spacing w:line="600" w:lineRule="exact"/>
        <w:ind w:firstLine="640" w:firstLineChars="200"/>
        <w:rPr>
          <w:rFonts w:ascii="Times New Roman" w:hAnsi="Times New Roman" w:eastAsia="楷体" w:cs="Times New Roman"/>
          <w:b/>
          <w:bCs/>
          <w:color w:val="auto"/>
          <w:sz w:val="32"/>
          <w:szCs w:val="32"/>
        </w:rPr>
      </w:pP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w:t>
      </w:r>
      <w:bookmarkStart w:id="0" w:name="_GoBack"/>
      <w:bookmarkEnd w:id="0"/>
      <w:r>
        <w:rPr>
          <w:rFonts w:ascii="Times New Roman" w:hAnsi="Times New Roman" w:eastAsia="仿宋_GB2312" w:cs="Times New Roman"/>
          <w:kern w:val="0"/>
          <w:sz w:val="32"/>
          <w:szCs w:val="32"/>
        </w:rPr>
        <w:t>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4894.86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1043.72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21.32</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92.13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”。绩效目标完成情况：一是</w:t>
      </w:r>
      <w:r>
        <w:rPr>
          <w:rFonts w:hint="eastAsia" w:eastAsia="仿宋_GB2312"/>
          <w:sz w:val="32"/>
          <w:szCs w:val="32"/>
        </w:rPr>
        <w:t>开展长江江豚科学考察2次，渔业资源监测2次</w:t>
      </w:r>
      <w:r>
        <w:rPr>
          <w:rFonts w:ascii="Times New Roman" w:hAnsi="Times New Roman" w:eastAsia="仿宋_GB2312" w:cs="Times New Roman"/>
          <w:sz w:val="32"/>
          <w:szCs w:val="32"/>
        </w:rPr>
        <w:t>；二是</w:t>
      </w:r>
      <w:r>
        <w:rPr>
          <w:rFonts w:hint="eastAsia" w:eastAsia="仿宋_GB2312"/>
          <w:sz w:val="32"/>
          <w:szCs w:val="32"/>
        </w:rPr>
        <w:t>适航条件下对长江江豚主要活动区域开展巡湖活动全年共计200多次</w:t>
      </w:r>
      <w:r>
        <w:rPr>
          <w:rFonts w:hint="eastAsia" w:eastAsia="仿宋_GB2312"/>
          <w:sz w:val="32"/>
          <w:szCs w:val="32"/>
          <w:lang w:eastAsia="zh-CN"/>
        </w:rPr>
        <w:t>；三是</w:t>
      </w:r>
      <w:r>
        <w:rPr>
          <w:rFonts w:hint="eastAsia" w:eastAsia="仿宋_GB2312"/>
          <w:sz w:val="32"/>
          <w:szCs w:val="32"/>
        </w:rPr>
        <w:t>广泛宣传水产种质资源保护及</w:t>
      </w:r>
      <w:r>
        <w:rPr>
          <w:rFonts w:hint="eastAsia" w:eastAsia="仿宋_GB2312"/>
          <w:sz w:val="32"/>
          <w:szCs w:val="32"/>
          <w:lang w:val="en-US" w:eastAsia="zh-CN"/>
        </w:rPr>
        <w:t xml:space="preserve"> </w:t>
      </w:r>
      <w:r>
        <w:rPr>
          <w:rFonts w:hint="eastAsia" w:eastAsia="仿宋_GB2312"/>
          <w:sz w:val="32"/>
          <w:szCs w:val="32"/>
        </w:rPr>
        <w:t>长江江豚保护的重要性，全年共计发放宣传资料5000余份，江豚徽章1000余个，明信片2000余份</w:t>
      </w:r>
      <w:r>
        <w:rPr>
          <w:rFonts w:hint="eastAsia" w:eastAsia="仿宋_GB2312"/>
          <w:sz w:val="32"/>
          <w:szCs w:val="32"/>
          <w:lang w:eastAsia="zh-CN"/>
        </w:rPr>
        <w:t>；四是</w:t>
      </w:r>
      <w:r>
        <w:rPr>
          <w:rFonts w:hint="eastAsia" w:eastAsia="仿宋_GB2312"/>
          <w:sz w:val="32"/>
          <w:szCs w:val="32"/>
          <w:lang w:val="en-US" w:eastAsia="zh-CN"/>
        </w:rPr>
        <w:t>实施生态修复项目1个</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lang w:val="en-US" w:eastAsia="zh-CN"/>
        </w:rPr>
        <w:t>物资采购程序繁琐审批环节多，导致采购周期长，影响项目进度和资金支付</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资金申请和审批流程繁琐，拖延了资金的使用</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lang w:val="en-US" w:eastAsia="zh-CN"/>
        </w:rPr>
        <w:t>优化审批流程，加强内部沟通，尽快完成审批流程</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积极对接政策，安排专人负责与相关政策发布部门对接，深入研究新政策要求，按照要求及时准备资金申报材料</w:t>
      </w:r>
      <w:r>
        <w:rPr>
          <w:rFonts w:ascii="Times New Roman" w:hAnsi="Times New Roman" w:eastAsia="仿宋_GB2312" w:cs="Times New Roman"/>
          <w:sz w:val="32"/>
          <w:szCs w:val="32"/>
        </w:rPr>
        <w:t>。</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p>
    <w:p>
      <w:pPr>
        <w:overflowPunct w:val="0"/>
        <w:spacing w:line="600" w:lineRule="exact"/>
        <w:ind w:firstLine="640" w:firstLineChars="200"/>
        <w:rPr>
          <w:rFonts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本单位为二级预算单位，部门评价结果可详见上级部门决算公开说明。</w:t>
      </w:r>
    </w:p>
    <w:p>
      <w:pPr>
        <w:overflowPunct w:val="0"/>
        <w:spacing w:line="600" w:lineRule="exact"/>
        <w:ind w:firstLine="640" w:firstLineChars="200"/>
        <w:rPr>
          <w:rFonts w:ascii="Times New Roman" w:hAnsi="Times New Roman" w:eastAsia="仿宋_GB2312" w:cs="Times New Roman"/>
          <w:b/>
          <w:bCs/>
          <w:kern w:val="0"/>
          <w:sz w:val="32"/>
          <w:szCs w:val="32"/>
          <w:highlight w:val="none"/>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p>
    <w:p>
      <w:pPr>
        <w:overflowPunct w:val="0"/>
        <w:spacing w:line="60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s="Times New Roman"/>
          <w:color w:val="auto"/>
          <w:kern w:val="0"/>
          <w:sz w:val="32"/>
          <w:szCs w:val="32"/>
          <w:lang w:val="en-US" w:eastAsia="zh-CN"/>
        </w:rPr>
        <w:t>本单位为二级预算单位，事前绩效评估结果可详见上级部门决算公开说明。</w:t>
      </w:r>
    </w:p>
    <w:p>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lang w:val="en-US" w:eastAsia="zh-CN"/>
        </w:rPr>
      </w:pPr>
      <w:r>
        <w:rPr>
          <w:rFonts w:hint="eastAsia" w:ascii="Times New Roman" w:hAnsi="Times New Roman" w:eastAsia="仿宋_GB2312" w:cs="Times New Roman"/>
          <w:kern w:val="2"/>
          <w:sz w:val="32"/>
          <w:szCs w:val="32"/>
          <w:lang w:val="en-US" w:eastAsia="zh-CN" w:bidi="ar-SA"/>
        </w:rPr>
        <w:t>通过绩效自评发现预算编制中的不足，确保资金按照预算计划合理使用，及时调整支出结构，避免资金浪费和低效使用。对绩效好的项目优先保障资金，对绩效一般的项目予以调整，对低效资金一律削减或取消。进一步完善绩效管理制度，形成科学、合理的绩效管理体系。同时完善人才培养，加强绩效管理人才的培养，提高绩效管理队伍的专业素质和业务能力，为绩效管理提供人才保障。</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pStyle w:val="2"/>
        <w:rPr>
          <w:rFonts w:hint="eastAsia"/>
        </w:rPr>
      </w:pPr>
    </w:p>
    <w:p>
      <w:pPr>
        <w:ind w:firstLine="640" w:firstLineChars="200"/>
        <w:jc w:val="left"/>
        <w:rPr>
          <w:rFonts w:hint="eastAsia" w:ascii="仿宋_GB2312" w:hAnsi="仿宋_GB2312" w:eastAsia="仿宋_GB2312" w:cs="仿宋_GB2312"/>
          <w:color w:val="000000"/>
          <w:kern w:val="0"/>
          <w:sz w:val="32"/>
          <w:szCs w:val="32"/>
        </w:rPr>
      </w:pP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_GB2312" w:hAnsi="仿宋_GB2312" w:eastAsia="仿宋_GB2312" w:cs="仿宋_GB2312"/>
          <w:b/>
          <w:bCs/>
          <w:i/>
          <w:color w:val="FF0000"/>
          <w:kern w:val="0"/>
          <w:sz w:val="32"/>
          <w:szCs w:val="32"/>
          <w:lang w:val="en-US" w:eastAsia="zh-CN" w:bidi="ar-SA"/>
        </w:rPr>
      </w:pPr>
    </w:p>
    <w:p/>
    <w:p>
      <w:pPr>
        <w:pStyle w:val="2"/>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both"/>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1ECAE644"/>
    <w:multiLevelType w:val="singleLevel"/>
    <w:tmpl w:val="1ECAE644"/>
    <w:lvl w:ilvl="0" w:tentative="0">
      <w:start w:val="3"/>
      <w:numFmt w:val="decimal"/>
      <w:suff w:val="space"/>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334FA"/>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063B0"/>
    <w:rsid w:val="00812704"/>
    <w:rsid w:val="00812ED5"/>
    <w:rsid w:val="00822EEE"/>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6102F"/>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3E3EC8"/>
    <w:rsid w:val="016C611A"/>
    <w:rsid w:val="01C13C3F"/>
    <w:rsid w:val="01E54A58"/>
    <w:rsid w:val="01E67B04"/>
    <w:rsid w:val="01F72C60"/>
    <w:rsid w:val="01F915FA"/>
    <w:rsid w:val="01FE6301"/>
    <w:rsid w:val="02793EAE"/>
    <w:rsid w:val="027E6FCD"/>
    <w:rsid w:val="02C21BD7"/>
    <w:rsid w:val="02D30932"/>
    <w:rsid w:val="02E16782"/>
    <w:rsid w:val="02FD0262"/>
    <w:rsid w:val="03110E57"/>
    <w:rsid w:val="035863B7"/>
    <w:rsid w:val="03970E65"/>
    <w:rsid w:val="03A037BD"/>
    <w:rsid w:val="03B50321"/>
    <w:rsid w:val="03C617FC"/>
    <w:rsid w:val="03EA73A5"/>
    <w:rsid w:val="045F1348"/>
    <w:rsid w:val="04750324"/>
    <w:rsid w:val="04B166C5"/>
    <w:rsid w:val="04FB698E"/>
    <w:rsid w:val="053C3F41"/>
    <w:rsid w:val="058D1D97"/>
    <w:rsid w:val="059958AD"/>
    <w:rsid w:val="05C76A15"/>
    <w:rsid w:val="05F25671"/>
    <w:rsid w:val="06372DE8"/>
    <w:rsid w:val="065A5A95"/>
    <w:rsid w:val="06B61C6B"/>
    <w:rsid w:val="06C857E7"/>
    <w:rsid w:val="071A3406"/>
    <w:rsid w:val="07406860"/>
    <w:rsid w:val="07F10E13"/>
    <w:rsid w:val="07FA4638"/>
    <w:rsid w:val="080611C2"/>
    <w:rsid w:val="083C0BB0"/>
    <w:rsid w:val="083C7826"/>
    <w:rsid w:val="08570194"/>
    <w:rsid w:val="08670CD0"/>
    <w:rsid w:val="089B1897"/>
    <w:rsid w:val="08B6411C"/>
    <w:rsid w:val="08C24A73"/>
    <w:rsid w:val="08F05FE3"/>
    <w:rsid w:val="08F21A48"/>
    <w:rsid w:val="09354BDA"/>
    <w:rsid w:val="09523ECC"/>
    <w:rsid w:val="095D5B33"/>
    <w:rsid w:val="095D6DB7"/>
    <w:rsid w:val="097B5E2A"/>
    <w:rsid w:val="09C8506B"/>
    <w:rsid w:val="0A007827"/>
    <w:rsid w:val="0A0C48D3"/>
    <w:rsid w:val="0A2F705D"/>
    <w:rsid w:val="0A4C52F8"/>
    <w:rsid w:val="0A930BF6"/>
    <w:rsid w:val="0ABC6A35"/>
    <w:rsid w:val="0AE326C1"/>
    <w:rsid w:val="0B2449CA"/>
    <w:rsid w:val="0B4B68E6"/>
    <w:rsid w:val="0B9646CF"/>
    <w:rsid w:val="0BA35983"/>
    <w:rsid w:val="0BBF714E"/>
    <w:rsid w:val="0BD70BD2"/>
    <w:rsid w:val="0C0F25B9"/>
    <w:rsid w:val="0C276537"/>
    <w:rsid w:val="0C560948"/>
    <w:rsid w:val="0D2860E7"/>
    <w:rsid w:val="0D2D2CE7"/>
    <w:rsid w:val="0D426AAD"/>
    <w:rsid w:val="0D4E1A34"/>
    <w:rsid w:val="0D863B3D"/>
    <w:rsid w:val="0DB259CF"/>
    <w:rsid w:val="0DD00FD3"/>
    <w:rsid w:val="0E085A0C"/>
    <w:rsid w:val="0E0A7DB3"/>
    <w:rsid w:val="0E2E42C3"/>
    <w:rsid w:val="0E890C4E"/>
    <w:rsid w:val="0E9D4EBB"/>
    <w:rsid w:val="0EA83E14"/>
    <w:rsid w:val="0EB60DAC"/>
    <w:rsid w:val="0EBF4FF1"/>
    <w:rsid w:val="0EFD4D2D"/>
    <w:rsid w:val="0F0F4BB1"/>
    <w:rsid w:val="0F1F1A77"/>
    <w:rsid w:val="0F7812DE"/>
    <w:rsid w:val="0F8E7767"/>
    <w:rsid w:val="0F9A3A85"/>
    <w:rsid w:val="0FC57EFE"/>
    <w:rsid w:val="0FD7366C"/>
    <w:rsid w:val="105503F0"/>
    <w:rsid w:val="105B3995"/>
    <w:rsid w:val="106274A2"/>
    <w:rsid w:val="1082773B"/>
    <w:rsid w:val="10B31266"/>
    <w:rsid w:val="10B42B5F"/>
    <w:rsid w:val="10C60213"/>
    <w:rsid w:val="10CA2B6F"/>
    <w:rsid w:val="10DE4276"/>
    <w:rsid w:val="10F433C7"/>
    <w:rsid w:val="10F72118"/>
    <w:rsid w:val="1108730B"/>
    <w:rsid w:val="110C22AD"/>
    <w:rsid w:val="11114EED"/>
    <w:rsid w:val="111A5348"/>
    <w:rsid w:val="111D7D6F"/>
    <w:rsid w:val="114E1B9C"/>
    <w:rsid w:val="1164350A"/>
    <w:rsid w:val="116E007E"/>
    <w:rsid w:val="11910D93"/>
    <w:rsid w:val="11944E2C"/>
    <w:rsid w:val="11B43575"/>
    <w:rsid w:val="11CE0F68"/>
    <w:rsid w:val="11D3057A"/>
    <w:rsid w:val="11E264C6"/>
    <w:rsid w:val="122F63A2"/>
    <w:rsid w:val="12440930"/>
    <w:rsid w:val="12511F3B"/>
    <w:rsid w:val="12583BA5"/>
    <w:rsid w:val="1273221F"/>
    <w:rsid w:val="12843FA2"/>
    <w:rsid w:val="129478D1"/>
    <w:rsid w:val="1331339B"/>
    <w:rsid w:val="13496133"/>
    <w:rsid w:val="13930B97"/>
    <w:rsid w:val="13BA5B9C"/>
    <w:rsid w:val="13CA7E50"/>
    <w:rsid w:val="13DF7E6D"/>
    <w:rsid w:val="13E1616A"/>
    <w:rsid w:val="13F47DB6"/>
    <w:rsid w:val="13FC457D"/>
    <w:rsid w:val="142205BC"/>
    <w:rsid w:val="14360EDD"/>
    <w:rsid w:val="14712962"/>
    <w:rsid w:val="147604F9"/>
    <w:rsid w:val="149F2D9D"/>
    <w:rsid w:val="14B0099A"/>
    <w:rsid w:val="14C61590"/>
    <w:rsid w:val="14E36AFD"/>
    <w:rsid w:val="150E7FE1"/>
    <w:rsid w:val="15172E96"/>
    <w:rsid w:val="158D6616"/>
    <w:rsid w:val="159920C4"/>
    <w:rsid w:val="15C532F3"/>
    <w:rsid w:val="15D90F71"/>
    <w:rsid w:val="15ED70B4"/>
    <w:rsid w:val="15FE53DC"/>
    <w:rsid w:val="162B28EA"/>
    <w:rsid w:val="165C31B4"/>
    <w:rsid w:val="167B3A5C"/>
    <w:rsid w:val="16836EE7"/>
    <w:rsid w:val="170937E1"/>
    <w:rsid w:val="173B50E1"/>
    <w:rsid w:val="1753350F"/>
    <w:rsid w:val="17CE5EE2"/>
    <w:rsid w:val="17F415C7"/>
    <w:rsid w:val="1812174A"/>
    <w:rsid w:val="181F7725"/>
    <w:rsid w:val="18327CC3"/>
    <w:rsid w:val="18777B1F"/>
    <w:rsid w:val="187F09FE"/>
    <w:rsid w:val="19283951"/>
    <w:rsid w:val="195E774F"/>
    <w:rsid w:val="197431C6"/>
    <w:rsid w:val="1A27665E"/>
    <w:rsid w:val="1A955EA9"/>
    <w:rsid w:val="1AAA512E"/>
    <w:rsid w:val="1AD734C8"/>
    <w:rsid w:val="1ADB6E1B"/>
    <w:rsid w:val="1AE36BEC"/>
    <w:rsid w:val="1B5C09D6"/>
    <w:rsid w:val="1B692A6D"/>
    <w:rsid w:val="1B7A24EB"/>
    <w:rsid w:val="1B985DA2"/>
    <w:rsid w:val="1B99749A"/>
    <w:rsid w:val="1BB439C1"/>
    <w:rsid w:val="1BE345B4"/>
    <w:rsid w:val="1C102C35"/>
    <w:rsid w:val="1C425728"/>
    <w:rsid w:val="1C91394D"/>
    <w:rsid w:val="1C955A3C"/>
    <w:rsid w:val="1C9F78A9"/>
    <w:rsid w:val="1CD7051B"/>
    <w:rsid w:val="1CFA2EF5"/>
    <w:rsid w:val="1D257515"/>
    <w:rsid w:val="1D381969"/>
    <w:rsid w:val="1D431DCC"/>
    <w:rsid w:val="1D792BAC"/>
    <w:rsid w:val="1D8646BD"/>
    <w:rsid w:val="1D8D1B6C"/>
    <w:rsid w:val="1D97DEFF"/>
    <w:rsid w:val="1DCB6DFC"/>
    <w:rsid w:val="1DF256F9"/>
    <w:rsid w:val="1DFE4FC9"/>
    <w:rsid w:val="1DFF72E5"/>
    <w:rsid w:val="1E4A75FA"/>
    <w:rsid w:val="1E61111D"/>
    <w:rsid w:val="1E896CD1"/>
    <w:rsid w:val="1EB14004"/>
    <w:rsid w:val="1EDD08D8"/>
    <w:rsid w:val="1EDF4112"/>
    <w:rsid w:val="1EE057C1"/>
    <w:rsid w:val="1EEC4925"/>
    <w:rsid w:val="1EFC6F07"/>
    <w:rsid w:val="1F0527A6"/>
    <w:rsid w:val="1F1E2CF1"/>
    <w:rsid w:val="1F6F3FDE"/>
    <w:rsid w:val="1FD44922"/>
    <w:rsid w:val="1FF61265"/>
    <w:rsid w:val="200C216F"/>
    <w:rsid w:val="20486057"/>
    <w:rsid w:val="204C409B"/>
    <w:rsid w:val="205D069E"/>
    <w:rsid w:val="20BA6247"/>
    <w:rsid w:val="20C533BA"/>
    <w:rsid w:val="20E37469"/>
    <w:rsid w:val="2103353A"/>
    <w:rsid w:val="21430F12"/>
    <w:rsid w:val="218F3E41"/>
    <w:rsid w:val="21905EAD"/>
    <w:rsid w:val="21EF526F"/>
    <w:rsid w:val="220B5286"/>
    <w:rsid w:val="2210455C"/>
    <w:rsid w:val="226A3C43"/>
    <w:rsid w:val="226A5776"/>
    <w:rsid w:val="229C1C99"/>
    <w:rsid w:val="22A44CAD"/>
    <w:rsid w:val="22AC03C2"/>
    <w:rsid w:val="22F36E61"/>
    <w:rsid w:val="231F1160"/>
    <w:rsid w:val="233853EB"/>
    <w:rsid w:val="2355644B"/>
    <w:rsid w:val="239519B2"/>
    <w:rsid w:val="24407542"/>
    <w:rsid w:val="249E3DBE"/>
    <w:rsid w:val="24C05533"/>
    <w:rsid w:val="24E558DC"/>
    <w:rsid w:val="24EE7060"/>
    <w:rsid w:val="24FC7245"/>
    <w:rsid w:val="24FE3469"/>
    <w:rsid w:val="250B6EAB"/>
    <w:rsid w:val="25184D3D"/>
    <w:rsid w:val="252707F5"/>
    <w:rsid w:val="258F74DC"/>
    <w:rsid w:val="25DE5AB5"/>
    <w:rsid w:val="25F67F06"/>
    <w:rsid w:val="25F80DDE"/>
    <w:rsid w:val="25F92545"/>
    <w:rsid w:val="260E5E26"/>
    <w:rsid w:val="26EF6A11"/>
    <w:rsid w:val="2745391E"/>
    <w:rsid w:val="274E7E6A"/>
    <w:rsid w:val="27821167"/>
    <w:rsid w:val="2798092D"/>
    <w:rsid w:val="27B92591"/>
    <w:rsid w:val="27D15D53"/>
    <w:rsid w:val="27D36F93"/>
    <w:rsid w:val="27DD16D3"/>
    <w:rsid w:val="27EE6369"/>
    <w:rsid w:val="28011914"/>
    <w:rsid w:val="280B1FC8"/>
    <w:rsid w:val="283B15FE"/>
    <w:rsid w:val="284D5F6D"/>
    <w:rsid w:val="28952961"/>
    <w:rsid w:val="28A0722B"/>
    <w:rsid w:val="28C17D93"/>
    <w:rsid w:val="28F271CF"/>
    <w:rsid w:val="290777C0"/>
    <w:rsid w:val="298419B8"/>
    <w:rsid w:val="299B1449"/>
    <w:rsid w:val="29F43DA8"/>
    <w:rsid w:val="2A072619"/>
    <w:rsid w:val="2A4356F2"/>
    <w:rsid w:val="2A5771FC"/>
    <w:rsid w:val="2A732768"/>
    <w:rsid w:val="2AB248D1"/>
    <w:rsid w:val="2ABD17FF"/>
    <w:rsid w:val="2ABD294C"/>
    <w:rsid w:val="2AD16A2E"/>
    <w:rsid w:val="2B533361"/>
    <w:rsid w:val="2BA540C0"/>
    <w:rsid w:val="2BFB5A90"/>
    <w:rsid w:val="2C4B0BD0"/>
    <w:rsid w:val="2C6D43CC"/>
    <w:rsid w:val="2C807E46"/>
    <w:rsid w:val="2CC249F1"/>
    <w:rsid w:val="2CCF7A4B"/>
    <w:rsid w:val="2D481989"/>
    <w:rsid w:val="2D727B2B"/>
    <w:rsid w:val="2D9E1876"/>
    <w:rsid w:val="2DE3259D"/>
    <w:rsid w:val="2E185641"/>
    <w:rsid w:val="2E390705"/>
    <w:rsid w:val="2EF128F8"/>
    <w:rsid w:val="2F352B0C"/>
    <w:rsid w:val="2F3F0859"/>
    <w:rsid w:val="2F5E69DB"/>
    <w:rsid w:val="2F7E687F"/>
    <w:rsid w:val="2F832411"/>
    <w:rsid w:val="2FC27577"/>
    <w:rsid w:val="2FD0011D"/>
    <w:rsid w:val="2FD644C6"/>
    <w:rsid w:val="2FDF85B8"/>
    <w:rsid w:val="2FE63A02"/>
    <w:rsid w:val="2FF813DE"/>
    <w:rsid w:val="2FFFEE04"/>
    <w:rsid w:val="300103C2"/>
    <w:rsid w:val="301E1BE9"/>
    <w:rsid w:val="306B264C"/>
    <w:rsid w:val="306D364E"/>
    <w:rsid w:val="30A63F78"/>
    <w:rsid w:val="30B87477"/>
    <w:rsid w:val="30C818D4"/>
    <w:rsid w:val="30EF4601"/>
    <w:rsid w:val="30FC33C7"/>
    <w:rsid w:val="310B2E80"/>
    <w:rsid w:val="317D5EDC"/>
    <w:rsid w:val="31A67E49"/>
    <w:rsid w:val="31C47D87"/>
    <w:rsid w:val="31C95635"/>
    <w:rsid w:val="31D4238F"/>
    <w:rsid w:val="31F738F7"/>
    <w:rsid w:val="326C4D13"/>
    <w:rsid w:val="32A011BC"/>
    <w:rsid w:val="32D81C78"/>
    <w:rsid w:val="32E27451"/>
    <w:rsid w:val="33023382"/>
    <w:rsid w:val="332C0618"/>
    <w:rsid w:val="33373645"/>
    <w:rsid w:val="33A87069"/>
    <w:rsid w:val="33B2112E"/>
    <w:rsid w:val="33BA6F54"/>
    <w:rsid w:val="33BA7942"/>
    <w:rsid w:val="33C03791"/>
    <w:rsid w:val="33C36967"/>
    <w:rsid w:val="33ED2531"/>
    <w:rsid w:val="3402691D"/>
    <w:rsid w:val="34210265"/>
    <w:rsid w:val="344B45B4"/>
    <w:rsid w:val="349E29A0"/>
    <w:rsid w:val="34C912AE"/>
    <w:rsid w:val="34DC686B"/>
    <w:rsid w:val="34DF85B0"/>
    <w:rsid w:val="34F9198F"/>
    <w:rsid w:val="352760FC"/>
    <w:rsid w:val="3577629C"/>
    <w:rsid w:val="357A6694"/>
    <w:rsid w:val="35B56989"/>
    <w:rsid w:val="35C454D9"/>
    <w:rsid w:val="35E71443"/>
    <w:rsid w:val="35EF2C4F"/>
    <w:rsid w:val="361A3825"/>
    <w:rsid w:val="365C115C"/>
    <w:rsid w:val="36824E93"/>
    <w:rsid w:val="368F7CCD"/>
    <w:rsid w:val="36C5200D"/>
    <w:rsid w:val="36C75A30"/>
    <w:rsid w:val="36EA28D5"/>
    <w:rsid w:val="370C71D8"/>
    <w:rsid w:val="377F660A"/>
    <w:rsid w:val="37DC7D4F"/>
    <w:rsid w:val="37E44B6A"/>
    <w:rsid w:val="37F408CE"/>
    <w:rsid w:val="37F86955"/>
    <w:rsid w:val="3811104A"/>
    <w:rsid w:val="38134F74"/>
    <w:rsid w:val="3838539D"/>
    <w:rsid w:val="386F73BE"/>
    <w:rsid w:val="38DD3AB9"/>
    <w:rsid w:val="38F27622"/>
    <w:rsid w:val="391F1F2B"/>
    <w:rsid w:val="394D2370"/>
    <w:rsid w:val="397F38AC"/>
    <w:rsid w:val="39945116"/>
    <w:rsid w:val="399745CE"/>
    <w:rsid w:val="39F44919"/>
    <w:rsid w:val="39F56D07"/>
    <w:rsid w:val="3A10645C"/>
    <w:rsid w:val="3A3D4CB0"/>
    <w:rsid w:val="3AA62439"/>
    <w:rsid w:val="3ACB7A32"/>
    <w:rsid w:val="3AD40CC9"/>
    <w:rsid w:val="3ADE5843"/>
    <w:rsid w:val="3B356543"/>
    <w:rsid w:val="3B8F36BC"/>
    <w:rsid w:val="3B9E14ED"/>
    <w:rsid w:val="3C116899"/>
    <w:rsid w:val="3C3D44A5"/>
    <w:rsid w:val="3C6518D1"/>
    <w:rsid w:val="3CA27B55"/>
    <w:rsid w:val="3CC445CF"/>
    <w:rsid w:val="3CE8352B"/>
    <w:rsid w:val="3D280C93"/>
    <w:rsid w:val="3D6A350E"/>
    <w:rsid w:val="3D6D2914"/>
    <w:rsid w:val="3D8C5197"/>
    <w:rsid w:val="3DB8190D"/>
    <w:rsid w:val="3E1A63AA"/>
    <w:rsid w:val="3E261A1D"/>
    <w:rsid w:val="3E9313A8"/>
    <w:rsid w:val="3EC12BBB"/>
    <w:rsid w:val="3EC87B58"/>
    <w:rsid w:val="3EF551A1"/>
    <w:rsid w:val="3EF86006"/>
    <w:rsid w:val="3EFB4876"/>
    <w:rsid w:val="3F02248E"/>
    <w:rsid w:val="3F3832A9"/>
    <w:rsid w:val="3F8225F2"/>
    <w:rsid w:val="3FC857BD"/>
    <w:rsid w:val="3FD0562C"/>
    <w:rsid w:val="3FE776EA"/>
    <w:rsid w:val="3FF1572E"/>
    <w:rsid w:val="4021526E"/>
    <w:rsid w:val="40447FB7"/>
    <w:rsid w:val="40512459"/>
    <w:rsid w:val="406877E6"/>
    <w:rsid w:val="407C24ED"/>
    <w:rsid w:val="40860AED"/>
    <w:rsid w:val="40DA2A1B"/>
    <w:rsid w:val="40ED7979"/>
    <w:rsid w:val="410A28C6"/>
    <w:rsid w:val="41146207"/>
    <w:rsid w:val="413C3D11"/>
    <w:rsid w:val="415331E1"/>
    <w:rsid w:val="416B7694"/>
    <w:rsid w:val="419A46C1"/>
    <w:rsid w:val="419E5ABD"/>
    <w:rsid w:val="419F2D83"/>
    <w:rsid w:val="41BF1B33"/>
    <w:rsid w:val="41EE2E1A"/>
    <w:rsid w:val="42123A45"/>
    <w:rsid w:val="423D3621"/>
    <w:rsid w:val="424A6635"/>
    <w:rsid w:val="424B32D0"/>
    <w:rsid w:val="42632431"/>
    <w:rsid w:val="426F55DB"/>
    <w:rsid w:val="42813D20"/>
    <w:rsid w:val="428C07EC"/>
    <w:rsid w:val="429F724B"/>
    <w:rsid w:val="42B46A3A"/>
    <w:rsid w:val="42D70567"/>
    <w:rsid w:val="432D62AD"/>
    <w:rsid w:val="43396D7F"/>
    <w:rsid w:val="43681A71"/>
    <w:rsid w:val="43AF4629"/>
    <w:rsid w:val="43EB5BA5"/>
    <w:rsid w:val="43F76CC5"/>
    <w:rsid w:val="43FF21A2"/>
    <w:rsid w:val="440B1D3A"/>
    <w:rsid w:val="44241F41"/>
    <w:rsid w:val="44257B9E"/>
    <w:rsid w:val="443A7AF3"/>
    <w:rsid w:val="44453FE5"/>
    <w:rsid w:val="451B40B1"/>
    <w:rsid w:val="451F0D87"/>
    <w:rsid w:val="45621E74"/>
    <w:rsid w:val="45822F71"/>
    <w:rsid w:val="458E73A7"/>
    <w:rsid w:val="459144A1"/>
    <w:rsid w:val="45A01745"/>
    <w:rsid w:val="45D07F2D"/>
    <w:rsid w:val="46154CED"/>
    <w:rsid w:val="46616827"/>
    <w:rsid w:val="46B934EF"/>
    <w:rsid w:val="47165166"/>
    <w:rsid w:val="472E448F"/>
    <w:rsid w:val="473F11D1"/>
    <w:rsid w:val="474D3EAB"/>
    <w:rsid w:val="4764628F"/>
    <w:rsid w:val="476674B6"/>
    <w:rsid w:val="47735F7F"/>
    <w:rsid w:val="47A536CC"/>
    <w:rsid w:val="48000FF9"/>
    <w:rsid w:val="48047FC0"/>
    <w:rsid w:val="48215F3E"/>
    <w:rsid w:val="48220981"/>
    <w:rsid w:val="485F5D44"/>
    <w:rsid w:val="48614E21"/>
    <w:rsid w:val="48BB6963"/>
    <w:rsid w:val="48C732FB"/>
    <w:rsid w:val="48D11EA0"/>
    <w:rsid w:val="48D44AB5"/>
    <w:rsid w:val="49075F69"/>
    <w:rsid w:val="491FF225"/>
    <w:rsid w:val="49221DF2"/>
    <w:rsid w:val="49811E97"/>
    <w:rsid w:val="49886497"/>
    <w:rsid w:val="49A35028"/>
    <w:rsid w:val="4A03101B"/>
    <w:rsid w:val="4A610973"/>
    <w:rsid w:val="4ADA0326"/>
    <w:rsid w:val="4ADE5B84"/>
    <w:rsid w:val="4AE901AF"/>
    <w:rsid w:val="4AF3739E"/>
    <w:rsid w:val="4B4C6651"/>
    <w:rsid w:val="4B570163"/>
    <w:rsid w:val="4B6440BF"/>
    <w:rsid w:val="4B6748FB"/>
    <w:rsid w:val="4B8D4EE8"/>
    <w:rsid w:val="4B9B2471"/>
    <w:rsid w:val="4C3B6F4E"/>
    <w:rsid w:val="4CA1415D"/>
    <w:rsid w:val="4CD442C1"/>
    <w:rsid w:val="4D0201B5"/>
    <w:rsid w:val="4D0F05D8"/>
    <w:rsid w:val="4D755076"/>
    <w:rsid w:val="4D993DF5"/>
    <w:rsid w:val="4DEC7F35"/>
    <w:rsid w:val="4E6044B8"/>
    <w:rsid w:val="4E9403BF"/>
    <w:rsid w:val="4EA46269"/>
    <w:rsid w:val="4EAD4BBF"/>
    <w:rsid w:val="4EC310A1"/>
    <w:rsid w:val="4ED4032B"/>
    <w:rsid w:val="4F5F7853"/>
    <w:rsid w:val="4F62183F"/>
    <w:rsid w:val="4F70305E"/>
    <w:rsid w:val="4F8F29E5"/>
    <w:rsid w:val="4F9A067F"/>
    <w:rsid w:val="4F9D531A"/>
    <w:rsid w:val="4FC74CE3"/>
    <w:rsid w:val="4FD359B9"/>
    <w:rsid w:val="4FFD214C"/>
    <w:rsid w:val="5003408C"/>
    <w:rsid w:val="500537BC"/>
    <w:rsid w:val="50255AC1"/>
    <w:rsid w:val="50363741"/>
    <w:rsid w:val="504C7B19"/>
    <w:rsid w:val="50D637D1"/>
    <w:rsid w:val="50E66EC3"/>
    <w:rsid w:val="519A4310"/>
    <w:rsid w:val="51AC38FD"/>
    <w:rsid w:val="51C37B4F"/>
    <w:rsid w:val="51CC26A4"/>
    <w:rsid w:val="520E608E"/>
    <w:rsid w:val="521F545C"/>
    <w:rsid w:val="522D4855"/>
    <w:rsid w:val="52335A23"/>
    <w:rsid w:val="525E1B66"/>
    <w:rsid w:val="529D136B"/>
    <w:rsid w:val="52A64873"/>
    <w:rsid w:val="52CF7D4D"/>
    <w:rsid w:val="531E02BD"/>
    <w:rsid w:val="5339232E"/>
    <w:rsid w:val="535210E2"/>
    <w:rsid w:val="5352765A"/>
    <w:rsid w:val="537640A0"/>
    <w:rsid w:val="53884C5C"/>
    <w:rsid w:val="53913221"/>
    <w:rsid w:val="53913B60"/>
    <w:rsid w:val="53E02A0D"/>
    <w:rsid w:val="53E86068"/>
    <w:rsid w:val="54074CDA"/>
    <w:rsid w:val="541A2B3C"/>
    <w:rsid w:val="541C475F"/>
    <w:rsid w:val="548B6620"/>
    <w:rsid w:val="54B31384"/>
    <w:rsid w:val="54BD4239"/>
    <w:rsid w:val="54CA00AB"/>
    <w:rsid w:val="54D86654"/>
    <w:rsid w:val="54E3178D"/>
    <w:rsid w:val="54FA6A3F"/>
    <w:rsid w:val="54FD487F"/>
    <w:rsid w:val="550907F9"/>
    <w:rsid w:val="5512260A"/>
    <w:rsid w:val="55277580"/>
    <w:rsid w:val="554A1444"/>
    <w:rsid w:val="558E3990"/>
    <w:rsid w:val="55B002F4"/>
    <w:rsid w:val="565E456B"/>
    <w:rsid w:val="565F56A7"/>
    <w:rsid w:val="56672440"/>
    <w:rsid w:val="566F4C60"/>
    <w:rsid w:val="56825DB2"/>
    <w:rsid w:val="569437F9"/>
    <w:rsid w:val="572D4F88"/>
    <w:rsid w:val="57476336"/>
    <w:rsid w:val="57635FB4"/>
    <w:rsid w:val="5777D4F5"/>
    <w:rsid w:val="578223F0"/>
    <w:rsid w:val="578C42A4"/>
    <w:rsid w:val="578F52C6"/>
    <w:rsid w:val="57BC7E5B"/>
    <w:rsid w:val="57BD6D80"/>
    <w:rsid w:val="57C15952"/>
    <w:rsid w:val="57C31E91"/>
    <w:rsid w:val="57D52161"/>
    <w:rsid w:val="57DA5402"/>
    <w:rsid w:val="57F22B6F"/>
    <w:rsid w:val="57F562A0"/>
    <w:rsid w:val="57FD2281"/>
    <w:rsid w:val="581065B9"/>
    <w:rsid w:val="581F344B"/>
    <w:rsid w:val="58261458"/>
    <w:rsid w:val="583075C6"/>
    <w:rsid w:val="587F676B"/>
    <w:rsid w:val="58815B72"/>
    <w:rsid w:val="58B47038"/>
    <w:rsid w:val="58D559A9"/>
    <w:rsid w:val="58F916EB"/>
    <w:rsid w:val="59042078"/>
    <w:rsid w:val="590F34A0"/>
    <w:rsid w:val="59425155"/>
    <w:rsid w:val="594D72E8"/>
    <w:rsid w:val="59540877"/>
    <w:rsid w:val="597A3122"/>
    <w:rsid w:val="59883845"/>
    <w:rsid w:val="598D1BCF"/>
    <w:rsid w:val="59B8748E"/>
    <w:rsid w:val="59DD8326"/>
    <w:rsid w:val="5A0B0876"/>
    <w:rsid w:val="5A197029"/>
    <w:rsid w:val="5A5F21F3"/>
    <w:rsid w:val="5A703862"/>
    <w:rsid w:val="5A8E30BD"/>
    <w:rsid w:val="5A9654BC"/>
    <w:rsid w:val="5AA65A76"/>
    <w:rsid w:val="5AAB58E9"/>
    <w:rsid w:val="5AE4719D"/>
    <w:rsid w:val="5AF966E3"/>
    <w:rsid w:val="5B3A10F8"/>
    <w:rsid w:val="5B636DB3"/>
    <w:rsid w:val="5B642BA2"/>
    <w:rsid w:val="5B6A58F4"/>
    <w:rsid w:val="5B8A4261"/>
    <w:rsid w:val="5BC00F0F"/>
    <w:rsid w:val="5BDA24EE"/>
    <w:rsid w:val="5C0A44B4"/>
    <w:rsid w:val="5C62726C"/>
    <w:rsid w:val="5C7A6352"/>
    <w:rsid w:val="5C827F35"/>
    <w:rsid w:val="5CB74471"/>
    <w:rsid w:val="5CD14C2C"/>
    <w:rsid w:val="5CE86C69"/>
    <w:rsid w:val="5D165EA1"/>
    <w:rsid w:val="5D9142E5"/>
    <w:rsid w:val="5D967C7A"/>
    <w:rsid w:val="5DCB29F7"/>
    <w:rsid w:val="5DD644AD"/>
    <w:rsid w:val="5DE34146"/>
    <w:rsid w:val="5DEF592A"/>
    <w:rsid w:val="5E09158D"/>
    <w:rsid w:val="5E0C4B9E"/>
    <w:rsid w:val="5E0C4F50"/>
    <w:rsid w:val="5E182B40"/>
    <w:rsid w:val="5E216C1E"/>
    <w:rsid w:val="5E434062"/>
    <w:rsid w:val="5E7D3DC5"/>
    <w:rsid w:val="5E8826CF"/>
    <w:rsid w:val="5EA271C5"/>
    <w:rsid w:val="5EAF62E9"/>
    <w:rsid w:val="5ECB393A"/>
    <w:rsid w:val="5EFA0326"/>
    <w:rsid w:val="5F1455A0"/>
    <w:rsid w:val="5F22378D"/>
    <w:rsid w:val="5F4464AC"/>
    <w:rsid w:val="5F6F423B"/>
    <w:rsid w:val="5F817D5B"/>
    <w:rsid w:val="5F964801"/>
    <w:rsid w:val="5FB80348"/>
    <w:rsid w:val="5FC6BB1E"/>
    <w:rsid w:val="5FE6273E"/>
    <w:rsid w:val="5FE64C0C"/>
    <w:rsid w:val="5FF720F1"/>
    <w:rsid w:val="602D29AC"/>
    <w:rsid w:val="603630D9"/>
    <w:rsid w:val="603D2943"/>
    <w:rsid w:val="60535825"/>
    <w:rsid w:val="605435C8"/>
    <w:rsid w:val="60842EF3"/>
    <w:rsid w:val="6097307F"/>
    <w:rsid w:val="615C4EA0"/>
    <w:rsid w:val="61BD67BB"/>
    <w:rsid w:val="622964C1"/>
    <w:rsid w:val="62996FFB"/>
    <w:rsid w:val="62E115EC"/>
    <w:rsid w:val="636D4DAB"/>
    <w:rsid w:val="638A5882"/>
    <w:rsid w:val="639164B3"/>
    <w:rsid w:val="63C8509D"/>
    <w:rsid w:val="63CF5158"/>
    <w:rsid w:val="641478BE"/>
    <w:rsid w:val="64207070"/>
    <w:rsid w:val="643829B6"/>
    <w:rsid w:val="64654C79"/>
    <w:rsid w:val="653C20FA"/>
    <w:rsid w:val="65963CC1"/>
    <w:rsid w:val="659D7FBE"/>
    <w:rsid w:val="65A73856"/>
    <w:rsid w:val="65AE2FEE"/>
    <w:rsid w:val="65B047D4"/>
    <w:rsid w:val="663951D1"/>
    <w:rsid w:val="66B4015C"/>
    <w:rsid w:val="66C97DD5"/>
    <w:rsid w:val="66E11F45"/>
    <w:rsid w:val="66E713E4"/>
    <w:rsid w:val="670429B2"/>
    <w:rsid w:val="67410E84"/>
    <w:rsid w:val="675D2A97"/>
    <w:rsid w:val="67934426"/>
    <w:rsid w:val="67A6505F"/>
    <w:rsid w:val="67AF02B7"/>
    <w:rsid w:val="67F86230"/>
    <w:rsid w:val="67FF5C0B"/>
    <w:rsid w:val="6824539F"/>
    <w:rsid w:val="686036D3"/>
    <w:rsid w:val="688F5E79"/>
    <w:rsid w:val="68926385"/>
    <w:rsid w:val="68A719B9"/>
    <w:rsid w:val="68C73C6E"/>
    <w:rsid w:val="69185883"/>
    <w:rsid w:val="691F674B"/>
    <w:rsid w:val="692B2186"/>
    <w:rsid w:val="69472B1D"/>
    <w:rsid w:val="6992336A"/>
    <w:rsid w:val="69C333C6"/>
    <w:rsid w:val="69C519C4"/>
    <w:rsid w:val="6A3842F3"/>
    <w:rsid w:val="6A48056C"/>
    <w:rsid w:val="6A587A5D"/>
    <w:rsid w:val="6A8423D9"/>
    <w:rsid w:val="6A9E73B6"/>
    <w:rsid w:val="6AA722BE"/>
    <w:rsid w:val="6AAC566D"/>
    <w:rsid w:val="6AD5041E"/>
    <w:rsid w:val="6AFC6DE4"/>
    <w:rsid w:val="6B1B372A"/>
    <w:rsid w:val="6B2E76D7"/>
    <w:rsid w:val="6B923D9D"/>
    <w:rsid w:val="6BA9267F"/>
    <w:rsid w:val="6BAA4A2F"/>
    <w:rsid w:val="6BAA6DFB"/>
    <w:rsid w:val="6BD72488"/>
    <w:rsid w:val="6C585781"/>
    <w:rsid w:val="6C7F6FF2"/>
    <w:rsid w:val="6CB3278B"/>
    <w:rsid w:val="6D275FC9"/>
    <w:rsid w:val="6D52331B"/>
    <w:rsid w:val="6D6E60E5"/>
    <w:rsid w:val="6D7055B9"/>
    <w:rsid w:val="6DA40DFF"/>
    <w:rsid w:val="6DAD51A3"/>
    <w:rsid w:val="6DDEC5C0"/>
    <w:rsid w:val="6DE93E04"/>
    <w:rsid w:val="6DEA0B6C"/>
    <w:rsid w:val="6DEF3047"/>
    <w:rsid w:val="6E0D181F"/>
    <w:rsid w:val="6E2F0E02"/>
    <w:rsid w:val="6E3365E4"/>
    <w:rsid w:val="6E440225"/>
    <w:rsid w:val="6E531C04"/>
    <w:rsid w:val="6E6A2441"/>
    <w:rsid w:val="6E9B0912"/>
    <w:rsid w:val="6EA6038C"/>
    <w:rsid w:val="6EB367A9"/>
    <w:rsid w:val="6ECC4935"/>
    <w:rsid w:val="6EFC0924"/>
    <w:rsid w:val="6F084B83"/>
    <w:rsid w:val="6F0F0145"/>
    <w:rsid w:val="6F236173"/>
    <w:rsid w:val="6F510B75"/>
    <w:rsid w:val="6F530574"/>
    <w:rsid w:val="6F611D00"/>
    <w:rsid w:val="6F617532"/>
    <w:rsid w:val="6F8C1FC7"/>
    <w:rsid w:val="6F9153E4"/>
    <w:rsid w:val="6F945CDA"/>
    <w:rsid w:val="6FAB0E30"/>
    <w:rsid w:val="6FB74722"/>
    <w:rsid w:val="6FEC1047"/>
    <w:rsid w:val="6FEF8B7E"/>
    <w:rsid w:val="70133C9B"/>
    <w:rsid w:val="704521E9"/>
    <w:rsid w:val="70A06225"/>
    <w:rsid w:val="70AE0102"/>
    <w:rsid w:val="70B92847"/>
    <w:rsid w:val="70E51235"/>
    <w:rsid w:val="710573BD"/>
    <w:rsid w:val="711E28DD"/>
    <w:rsid w:val="714C4210"/>
    <w:rsid w:val="71535332"/>
    <w:rsid w:val="71742800"/>
    <w:rsid w:val="717C6C3A"/>
    <w:rsid w:val="717FE77F"/>
    <w:rsid w:val="71A6591B"/>
    <w:rsid w:val="71B90D03"/>
    <w:rsid w:val="71C004CD"/>
    <w:rsid w:val="71D3405A"/>
    <w:rsid w:val="72221382"/>
    <w:rsid w:val="723175D5"/>
    <w:rsid w:val="72675680"/>
    <w:rsid w:val="72B47591"/>
    <w:rsid w:val="72F51A2C"/>
    <w:rsid w:val="73257EE6"/>
    <w:rsid w:val="732D5ADC"/>
    <w:rsid w:val="734A04B7"/>
    <w:rsid w:val="73520C60"/>
    <w:rsid w:val="736F21BC"/>
    <w:rsid w:val="737D59BA"/>
    <w:rsid w:val="737E1819"/>
    <w:rsid w:val="737F32B1"/>
    <w:rsid w:val="73871003"/>
    <w:rsid w:val="738C5EDF"/>
    <w:rsid w:val="73A13662"/>
    <w:rsid w:val="73BD3FCA"/>
    <w:rsid w:val="740043EB"/>
    <w:rsid w:val="742F12AB"/>
    <w:rsid w:val="744066FA"/>
    <w:rsid w:val="744D00BC"/>
    <w:rsid w:val="74511D94"/>
    <w:rsid w:val="74CE53FA"/>
    <w:rsid w:val="752300CB"/>
    <w:rsid w:val="75580709"/>
    <w:rsid w:val="755D7961"/>
    <w:rsid w:val="7564166D"/>
    <w:rsid w:val="756859CB"/>
    <w:rsid w:val="75DC2646"/>
    <w:rsid w:val="75EA311C"/>
    <w:rsid w:val="761F25E3"/>
    <w:rsid w:val="76241C63"/>
    <w:rsid w:val="76532BDA"/>
    <w:rsid w:val="769E52CE"/>
    <w:rsid w:val="76BD6CEE"/>
    <w:rsid w:val="76C27056"/>
    <w:rsid w:val="76E82E63"/>
    <w:rsid w:val="77143043"/>
    <w:rsid w:val="772A56D0"/>
    <w:rsid w:val="772D39D7"/>
    <w:rsid w:val="773B6357"/>
    <w:rsid w:val="774B453C"/>
    <w:rsid w:val="775F1F1B"/>
    <w:rsid w:val="7763241C"/>
    <w:rsid w:val="776BDA01"/>
    <w:rsid w:val="77C37683"/>
    <w:rsid w:val="77CF34AA"/>
    <w:rsid w:val="77ED4975"/>
    <w:rsid w:val="782937BB"/>
    <w:rsid w:val="783C2092"/>
    <w:rsid w:val="787545B4"/>
    <w:rsid w:val="788354DD"/>
    <w:rsid w:val="789C1814"/>
    <w:rsid w:val="78BE209D"/>
    <w:rsid w:val="78E4647E"/>
    <w:rsid w:val="78EE7032"/>
    <w:rsid w:val="79215AD6"/>
    <w:rsid w:val="794E6B64"/>
    <w:rsid w:val="79575725"/>
    <w:rsid w:val="79660600"/>
    <w:rsid w:val="7974615C"/>
    <w:rsid w:val="79EC0872"/>
    <w:rsid w:val="79FF515B"/>
    <w:rsid w:val="7A3049EE"/>
    <w:rsid w:val="7A4A450F"/>
    <w:rsid w:val="7A9314CB"/>
    <w:rsid w:val="7AAF2E06"/>
    <w:rsid w:val="7ABD6112"/>
    <w:rsid w:val="7B1F7DC7"/>
    <w:rsid w:val="7B24173A"/>
    <w:rsid w:val="7B842110"/>
    <w:rsid w:val="7B89540C"/>
    <w:rsid w:val="7B8E5980"/>
    <w:rsid w:val="7BA761CD"/>
    <w:rsid w:val="7BCC3841"/>
    <w:rsid w:val="7BE803F7"/>
    <w:rsid w:val="7C097066"/>
    <w:rsid w:val="7C261198"/>
    <w:rsid w:val="7C691F2F"/>
    <w:rsid w:val="7C7636AA"/>
    <w:rsid w:val="7C7B4FF5"/>
    <w:rsid w:val="7C865717"/>
    <w:rsid w:val="7CA1638F"/>
    <w:rsid w:val="7CD24D39"/>
    <w:rsid w:val="7CE44137"/>
    <w:rsid w:val="7D191068"/>
    <w:rsid w:val="7D2A2431"/>
    <w:rsid w:val="7D46006F"/>
    <w:rsid w:val="7D701A39"/>
    <w:rsid w:val="7D910BDF"/>
    <w:rsid w:val="7D9314CE"/>
    <w:rsid w:val="7D966AD9"/>
    <w:rsid w:val="7DAA3A3B"/>
    <w:rsid w:val="7DC711A2"/>
    <w:rsid w:val="7DFBFF20"/>
    <w:rsid w:val="7E281017"/>
    <w:rsid w:val="7E323E3E"/>
    <w:rsid w:val="7E51287D"/>
    <w:rsid w:val="7E5659C9"/>
    <w:rsid w:val="7E9A3CC2"/>
    <w:rsid w:val="7E9E1962"/>
    <w:rsid w:val="7E9F11B4"/>
    <w:rsid w:val="7EA444E0"/>
    <w:rsid w:val="7F014258"/>
    <w:rsid w:val="7F1A2BCB"/>
    <w:rsid w:val="7F1C6042"/>
    <w:rsid w:val="7F341E51"/>
    <w:rsid w:val="7F37EC1E"/>
    <w:rsid w:val="7F3E3B04"/>
    <w:rsid w:val="7F4737D3"/>
    <w:rsid w:val="7F6E710C"/>
    <w:rsid w:val="7F7C0DDA"/>
    <w:rsid w:val="7F7DCD9D"/>
    <w:rsid w:val="7F970A6F"/>
    <w:rsid w:val="7FAB1F33"/>
    <w:rsid w:val="7FB030B3"/>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qFormat/>
    <w:uiPriority w:val="99"/>
    <w:pPr>
      <w:spacing w:after="120"/>
    </w:p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1347</Words>
  <Characters>7679</Characters>
  <Lines>63</Lines>
  <Paragraphs>18</Paragraphs>
  <TotalTime>38</TotalTime>
  <ScaleCrop>false</ScaleCrop>
  <LinksUpToDate>false</LinksUpToDate>
  <CharactersWithSpaces>9008</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Administrator</cp:lastModifiedBy>
  <cp:lastPrinted>2024-08-11T02:20:00Z</cp:lastPrinted>
  <dcterms:modified xsi:type="dcterms:W3CDTF">2025-09-24T01:14:53Z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B0325FAC510F4D1A8D0C7F0A47B1F729</vt:lpwstr>
  </property>
</Properties>
</file>