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1C657">
      <w:pPr>
        <w:pStyle w:val="13"/>
        <w:jc w:val="center"/>
        <w:rPr>
          <w:color w:val="000000" w:themeColor="text1"/>
          <w:sz w:val="56"/>
          <w:szCs w:val="56"/>
          <w14:textFill>
            <w14:solidFill>
              <w14:schemeClr w14:val="tx1"/>
            </w14:solidFill>
          </w14:textFill>
        </w:rPr>
      </w:pPr>
    </w:p>
    <w:p w14:paraId="6C316038">
      <w:pPr>
        <w:pStyle w:val="13"/>
        <w:jc w:val="center"/>
        <w:rPr>
          <w:color w:val="000000" w:themeColor="text1"/>
          <w:sz w:val="56"/>
          <w:szCs w:val="56"/>
          <w14:textFill>
            <w14:solidFill>
              <w14:schemeClr w14:val="tx1"/>
            </w14:solidFill>
          </w14:textFill>
        </w:rPr>
      </w:pPr>
    </w:p>
    <w:p w14:paraId="4B04FE43">
      <w:pPr>
        <w:pStyle w:val="13"/>
        <w:jc w:val="center"/>
        <w:rPr>
          <w:color w:val="000000" w:themeColor="text1"/>
          <w:sz w:val="84"/>
          <w:szCs w:val="84"/>
          <w14:textFill>
            <w14:solidFill>
              <w14:schemeClr w14:val="tx1"/>
            </w14:solidFill>
          </w14:textFill>
        </w:rPr>
      </w:pPr>
    </w:p>
    <w:p w14:paraId="11521601">
      <w:pPr>
        <w:pStyle w:val="13"/>
        <w:jc w:val="center"/>
        <w:rPr>
          <w:color w:val="000000" w:themeColor="text1"/>
          <w:sz w:val="84"/>
          <w:szCs w:val="84"/>
          <w14:textFill>
            <w14:solidFill>
              <w14:schemeClr w14:val="tx1"/>
            </w14:solidFill>
          </w14:textFill>
        </w:rPr>
      </w:pPr>
    </w:p>
    <w:p w14:paraId="6A006404">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202</w:t>
      </w:r>
      <w:r>
        <w:rPr>
          <w:rFonts w:hint="eastAsia" w:ascii="方正小标宋_GBK" w:hAnsi="方正小标宋_GBK" w:eastAsia="方正小标宋_GBK" w:cs="方正小标宋_GBK"/>
          <w:color w:val="000000" w:themeColor="text1"/>
          <w:sz w:val="72"/>
          <w:szCs w:val="72"/>
          <w:lang w:val="en-US" w:eastAsia="zh-CN"/>
          <w14:textFill>
            <w14:solidFill>
              <w14:schemeClr w14:val="tx1"/>
            </w14:solidFill>
          </w14:textFill>
        </w:rPr>
        <w:t>4</w:t>
      </w:r>
      <w:r>
        <w:rPr>
          <w:rFonts w:hint="eastAsia" w:ascii="方正小标宋_GBK" w:hAnsi="方正小标宋_GBK" w:eastAsia="方正小标宋_GBK" w:cs="方正小标宋_GBK"/>
          <w:color w:val="000000" w:themeColor="text1"/>
          <w:sz w:val="72"/>
          <w:szCs w:val="72"/>
          <w14:textFill>
            <w14:solidFill>
              <w14:schemeClr w14:val="tx1"/>
            </w14:solidFill>
          </w14:textFill>
        </w:rPr>
        <w:t>年度</w:t>
      </w:r>
    </w:p>
    <w:p w14:paraId="5717848A">
      <w:pPr>
        <w:pStyle w:val="13"/>
        <w:jc w:val="cente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pPr>
      <w: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t>岳阳市动物疫病预防控制中心</w:t>
      </w:r>
    </w:p>
    <w:p w14:paraId="24A6B4D5">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部门决算</w:t>
      </w:r>
    </w:p>
    <w:p w14:paraId="6C97F362">
      <w:pPr>
        <w:pStyle w:val="13"/>
        <w:jc w:val="center"/>
        <w:rPr>
          <w:rFonts w:hint="eastAsia" w:ascii="方正小标宋_GBK" w:hAnsi="方正小标宋_GBK" w:eastAsia="方正小标宋_GBK" w:cs="方正小标宋_GBK"/>
          <w:color w:val="000000" w:themeColor="text1"/>
          <w:sz w:val="56"/>
          <w:szCs w:val="56"/>
          <w14:textFill>
            <w14:solidFill>
              <w14:schemeClr w14:val="tx1"/>
            </w14:solidFill>
          </w14:textFill>
        </w:rPr>
      </w:pPr>
    </w:p>
    <w:p w14:paraId="0B4698BD">
      <w:pPr>
        <w:pStyle w:val="13"/>
        <w:jc w:val="center"/>
        <w:rPr>
          <w:color w:val="000000" w:themeColor="text1"/>
          <w:sz w:val="56"/>
          <w:szCs w:val="56"/>
          <w14:textFill>
            <w14:solidFill>
              <w14:schemeClr w14:val="tx1"/>
            </w14:solidFill>
          </w14:textFill>
        </w:rPr>
      </w:pPr>
    </w:p>
    <w:p w14:paraId="2C1281CB">
      <w:pPr>
        <w:pStyle w:val="13"/>
        <w:jc w:val="center"/>
        <w:rPr>
          <w:color w:val="000000" w:themeColor="text1"/>
          <w:sz w:val="56"/>
          <w:szCs w:val="56"/>
          <w14:textFill>
            <w14:solidFill>
              <w14:schemeClr w14:val="tx1"/>
            </w14:solidFill>
          </w14:textFill>
        </w:rPr>
      </w:pPr>
    </w:p>
    <w:p w14:paraId="0A0AF6DB">
      <w:pPr>
        <w:pStyle w:val="13"/>
        <w:jc w:val="center"/>
        <w:rPr>
          <w:color w:val="000000" w:themeColor="text1"/>
          <w:sz w:val="56"/>
          <w:szCs w:val="56"/>
          <w14:textFill>
            <w14:solidFill>
              <w14:schemeClr w14:val="tx1"/>
            </w14:solidFill>
          </w14:textFill>
        </w:rPr>
      </w:pPr>
    </w:p>
    <w:p w14:paraId="49CA20EC">
      <w:pPr>
        <w:pStyle w:val="13"/>
        <w:jc w:val="center"/>
        <w:rPr>
          <w:color w:val="000000" w:themeColor="text1"/>
          <w:sz w:val="32"/>
          <w:szCs w:val="32"/>
          <w14:textFill>
            <w14:solidFill>
              <w14:schemeClr w14:val="tx1"/>
            </w14:solidFill>
          </w14:textFill>
        </w:rPr>
      </w:pPr>
    </w:p>
    <w:p w14:paraId="1F6918CF">
      <w:pPr>
        <w:pStyle w:val="13"/>
        <w:jc w:val="center"/>
        <w:rPr>
          <w:color w:val="000000" w:themeColor="text1"/>
          <w:sz w:val="32"/>
          <w:szCs w:val="32"/>
          <w14:textFill>
            <w14:solidFill>
              <w14:schemeClr w14:val="tx1"/>
            </w14:solidFill>
          </w14:textFill>
        </w:rPr>
      </w:pPr>
    </w:p>
    <w:p w14:paraId="5670C3A4">
      <w:pPr>
        <w:pStyle w:val="13"/>
        <w:spacing w:line="540" w:lineRule="exact"/>
        <w:jc w:val="both"/>
        <w:rPr>
          <w:color w:val="000000" w:themeColor="text1"/>
          <w:sz w:val="56"/>
          <w:szCs w:val="56"/>
          <w14:textFill>
            <w14:solidFill>
              <w14:schemeClr w14:val="tx1"/>
            </w14:solidFill>
          </w14:textFill>
        </w:rPr>
      </w:pPr>
    </w:p>
    <w:p w14:paraId="07CAFD15">
      <w:pPr>
        <w:pStyle w:val="13"/>
        <w:spacing w:line="500" w:lineRule="exact"/>
        <w:jc w:val="both"/>
        <w:rPr>
          <w:b/>
          <w:color w:val="000000" w:themeColor="text1"/>
          <w:sz w:val="36"/>
          <w:szCs w:val="28"/>
          <w14:textFill>
            <w14:solidFill>
              <w14:schemeClr w14:val="tx1"/>
            </w14:solidFill>
          </w14:textFill>
        </w:rPr>
      </w:pPr>
    </w:p>
    <w:p w14:paraId="5FB71229">
      <w:pPr>
        <w:pStyle w:val="13"/>
        <w:spacing w:line="500" w:lineRule="exact"/>
        <w:jc w:val="center"/>
        <w:rPr>
          <w:rFonts w:hint="eastAsia"/>
          <w:b/>
          <w:color w:val="000000" w:themeColor="text1"/>
          <w:sz w:val="36"/>
          <w:szCs w:val="28"/>
          <w14:textFill>
            <w14:solidFill>
              <w14:schemeClr w14:val="tx1"/>
            </w14:solidFill>
          </w14:textFill>
        </w:rPr>
      </w:pPr>
    </w:p>
    <w:p w14:paraId="5A6993AA">
      <w:pPr>
        <w:pStyle w:val="13"/>
        <w:spacing w:line="500" w:lineRule="exact"/>
        <w:jc w:val="center"/>
        <w:rPr>
          <w:rFonts w:hint="eastAsia"/>
          <w:b/>
          <w:color w:val="000000" w:themeColor="text1"/>
          <w:sz w:val="36"/>
          <w:szCs w:val="28"/>
          <w14:textFill>
            <w14:solidFill>
              <w14:schemeClr w14:val="tx1"/>
            </w14:solidFill>
          </w14:textFill>
        </w:rPr>
      </w:pPr>
    </w:p>
    <w:p w14:paraId="60B4B1FB">
      <w:pPr>
        <w:pStyle w:val="13"/>
        <w:spacing w:line="500" w:lineRule="exact"/>
        <w:jc w:val="center"/>
        <w:rPr>
          <w:b/>
          <w:color w:val="000000" w:themeColor="text1"/>
          <w:sz w:val="36"/>
          <w:szCs w:val="28"/>
          <w14:textFill>
            <w14:solidFill>
              <w14:schemeClr w14:val="tx1"/>
            </w14:solidFill>
          </w14:textFill>
        </w:rPr>
      </w:pPr>
      <w:r>
        <w:rPr>
          <w:rFonts w:hint="eastAsia"/>
          <w:b/>
          <w:color w:val="000000" w:themeColor="text1"/>
          <w:sz w:val="36"/>
          <w:szCs w:val="28"/>
          <w14:textFill>
            <w14:solidFill>
              <w14:schemeClr w14:val="tx1"/>
            </w14:solidFill>
          </w14:textFill>
        </w:rPr>
        <w:t>目录</w:t>
      </w:r>
    </w:p>
    <w:p w14:paraId="4024ABD0">
      <w:pPr>
        <w:pStyle w:val="13"/>
        <w:spacing w:line="500" w:lineRule="exact"/>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第一部分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岳阳市动物疫病预防控制中心概况</w:t>
      </w:r>
    </w:p>
    <w:p w14:paraId="12AD3430">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一、部门职责</w:t>
      </w:r>
    </w:p>
    <w:p w14:paraId="62BCA51B">
      <w:pPr>
        <w:pStyle w:val="13"/>
        <w:spacing w:line="500" w:lineRule="exact"/>
        <w:ind w:firstLine="700" w:firstLineChars="250"/>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二、机构设置</w:t>
      </w:r>
      <w:r>
        <w:rPr>
          <w:rFonts w:hint="eastAsia" w:ascii="仿宋_GB2312" w:hAnsi="仿宋_GB2312" w:eastAsia="仿宋_GB2312" w:cs="仿宋_GB2312"/>
          <w:color w:val="000000" w:themeColor="text1"/>
          <w:sz w:val="28"/>
          <w:szCs w:val="28"/>
          <w:lang w:eastAsia="zh-CN"/>
          <w14:textFill>
            <w14:solidFill>
              <w14:schemeClr w14:val="tx1"/>
            </w14:solidFill>
          </w14:textFill>
        </w:rPr>
        <w:t>及决算单位构成</w:t>
      </w:r>
    </w:p>
    <w:p w14:paraId="67C31A40">
      <w:pPr>
        <w:pStyle w:val="13"/>
        <w:spacing w:line="500" w:lineRule="exact"/>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第二部分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部门决算表</w:t>
      </w:r>
    </w:p>
    <w:p w14:paraId="5AFC76AE">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一、收入支出决算总表</w:t>
      </w:r>
    </w:p>
    <w:p w14:paraId="2B0CFB0A">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二、收入决算表</w:t>
      </w:r>
    </w:p>
    <w:p w14:paraId="1C672C1E">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三、支出决算表</w:t>
      </w:r>
    </w:p>
    <w:p w14:paraId="7C6917D0">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四、财政拨款收入支出决算总表</w:t>
      </w:r>
    </w:p>
    <w:p w14:paraId="6F9B83EA">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五、一般公共预算财政拨款支出决算表</w:t>
      </w:r>
    </w:p>
    <w:p w14:paraId="1BC82C64">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六、一般公共预算财政拨款基本支出决算明细表</w:t>
      </w:r>
    </w:p>
    <w:p w14:paraId="4E8B989A">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七、政府性基金预算财政拨款收入支出决算表</w:t>
      </w:r>
    </w:p>
    <w:p w14:paraId="09D56B78">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八、国有资本经营预算财政拨款支出决算表</w:t>
      </w:r>
    </w:p>
    <w:p w14:paraId="3BFB00EC">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九、财政拨款“三公”经费支出决算表</w:t>
      </w:r>
    </w:p>
    <w:p w14:paraId="392BFDA0">
      <w:pPr>
        <w:pStyle w:val="13"/>
        <w:spacing w:line="500" w:lineRule="exact"/>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第三部分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部门决算情况说明</w:t>
      </w:r>
    </w:p>
    <w:p w14:paraId="38726BE0">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一、收入支出决算总体情况说明</w:t>
      </w:r>
    </w:p>
    <w:p w14:paraId="4940E470">
      <w:pPr>
        <w:spacing w:line="500" w:lineRule="exact"/>
        <w:ind w:firstLine="700" w:firstLineChars="25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二、收入决算情况说明</w:t>
      </w:r>
    </w:p>
    <w:p w14:paraId="7C4744FF">
      <w:pPr>
        <w:autoSpaceDE w:val="0"/>
        <w:autoSpaceDN w:val="0"/>
        <w:adjustRightInd w:val="0"/>
        <w:spacing w:line="500" w:lineRule="exact"/>
        <w:ind w:firstLine="700" w:firstLineChars="250"/>
        <w:jc w:val="left"/>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三、支出决算情况说明</w:t>
      </w:r>
    </w:p>
    <w:p w14:paraId="5B0EB5DA">
      <w:pPr>
        <w:autoSpaceDE w:val="0"/>
        <w:autoSpaceDN w:val="0"/>
        <w:adjustRightInd w:val="0"/>
        <w:spacing w:line="500" w:lineRule="exact"/>
        <w:ind w:firstLine="700" w:firstLineChars="250"/>
        <w:jc w:val="left"/>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四、财政拨款收入支出决算总体情况说明</w:t>
      </w:r>
    </w:p>
    <w:p w14:paraId="7AD80474">
      <w:pPr>
        <w:autoSpaceDE w:val="0"/>
        <w:autoSpaceDN w:val="0"/>
        <w:adjustRightInd w:val="0"/>
        <w:spacing w:line="500" w:lineRule="exact"/>
        <w:ind w:firstLine="700" w:firstLineChars="250"/>
        <w:jc w:val="left"/>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五、一般公共预算财政拨款支出决算情况说明</w:t>
      </w:r>
    </w:p>
    <w:p w14:paraId="435EDF74">
      <w:pPr>
        <w:autoSpaceDE w:val="0"/>
        <w:autoSpaceDN w:val="0"/>
        <w:adjustRightInd w:val="0"/>
        <w:spacing w:line="500" w:lineRule="exact"/>
        <w:ind w:firstLine="700" w:firstLineChars="250"/>
        <w:jc w:val="left"/>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六、一般公共预算财政拨款基本支出决算情况说明</w:t>
      </w:r>
    </w:p>
    <w:p w14:paraId="7C7CD5B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七、政府性基金预算收入支出决算情况</w:t>
      </w:r>
    </w:p>
    <w:p w14:paraId="5184A82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八、</w:t>
      </w:r>
      <w:r>
        <w:rPr>
          <w:rFonts w:hint="eastAsia" w:ascii="仿宋_GB2312" w:hAnsi="仿宋_GB2312" w:eastAsia="仿宋_GB2312" w:cs="仿宋_GB2312"/>
          <w:color w:val="000000" w:themeColor="text1"/>
          <w:sz w:val="28"/>
          <w:szCs w:val="28"/>
          <w14:textFill>
            <w14:solidFill>
              <w14:schemeClr w14:val="tx1"/>
            </w14:solidFill>
          </w14:textFill>
        </w:rPr>
        <w:t>国有资本经营预算财政拨款支出决算</w:t>
      </w:r>
      <w:r>
        <w:rPr>
          <w:rFonts w:hint="eastAsia" w:ascii="仿宋_GB2312" w:hAnsi="仿宋_GB2312" w:eastAsia="仿宋_GB2312" w:cs="仿宋_GB2312"/>
          <w:color w:val="000000" w:themeColor="text1"/>
          <w:sz w:val="28"/>
          <w:szCs w:val="28"/>
          <w:lang w:eastAsia="zh-CN"/>
          <w14:textFill>
            <w14:solidFill>
              <w14:schemeClr w14:val="tx1"/>
            </w14:solidFill>
          </w14:textFill>
        </w:rPr>
        <w:t>情况</w:t>
      </w:r>
    </w:p>
    <w:p w14:paraId="41323A5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lang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九、财政拨款三公经费支出决算情况说明</w:t>
      </w:r>
    </w:p>
    <w:p w14:paraId="5F1DD15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十、关于机关运行经费支出说明</w:t>
      </w:r>
    </w:p>
    <w:p w14:paraId="55F90AF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十一、一般性支出情况说明</w:t>
      </w:r>
    </w:p>
    <w:p w14:paraId="109B287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十二、</w:t>
      </w:r>
      <w:r>
        <w:rPr>
          <w:rFonts w:hint="eastAsia" w:ascii="仿宋_GB2312" w:hAnsi="仿宋_GB2312" w:eastAsia="仿宋_GB2312" w:cs="仿宋_GB2312"/>
          <w:color w:val="000000" w:themeColor="text1"/>
          <w:kern w:val="0"/>
          <w:sz w:val="28"/>
          <w:szCs w:val="28"/>
          <w14:textFill>
            <w14:solidFill>
              <w14:schemeClr w14:val="tx1"/>
            </w14:solidFill>
          </w14:textFill>
        </w:rPr>
        <w:t>关于政府采购支出说明</w:t>
      </w:r>
    </w:p>
    <w:p w14:paraId="3814A20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themeColor="text1"/>
          <w:kern w:val="0"/>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SA"/>
          <w14:textFill>
            <w14:solidFill>
              <w14:schemeClr w14:val="tx1"/>
            </w14:solidFill>
          </w14:textFill>
        </w:rPr>
        <w:t>十三、关于国有资产占用情况说明</w:t>
      </w:r>
    </w:p>
    <w:p w14:paraId="3D02B3D3">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SA"/>
          <w14:textFill>
            <w14:solidFill>
              <w14:schemeClr w14:val="tx1"/>
            </w14:solidFill>
          </w14:textFill>
        </w:rPr>
        <w:t>十四、</w:t>
      </w:r>
      <w:r>
        <w:rPr>
          <w:rFonts w:hint="eastAsia" w:ascii="仿宋_GB2312" w:hAnsi="仿宋_GB2312" w:eastAsia="仿宋_GB2312" w:cs="仿宋_GB2312"/>
          <w:color w:val="000000" w:themeColor="text1"/>
          <w:sz w:val="28"/>
          <w:szCs w:val="28"/>
          <w14:textFill>
            <w14:solidFill>
              <w14:schemeClr w14:val="tx1"/>
            </w14:solidFill>
          </w14:textFill>
        </w:rPr>
        <w:t>关于</w:t>
      </w:r>
      <w:r>
        <w:rPr>
          <w:rFonts w:hint="default" w:ascii="Times New Roman" w:hAnsi="Times New Roman" w:eastAsia="仿宋_GB2312" w:cs="Times New Roman"/>
          <w:color w:val="000000" w:themeColor="text1"/>
          <w:sz w:val="28"/>
          <w:szCs w:val="28"/>
          <w14:textFill>
            <w14:solidFill>
              <w14:schemeClr w14:val="tx1"/>
            </w14:solidFill>
          </w14:textFill>
        </w:rPr>
        <w:t>202</w:t>
      </w:r>
      <w:r>
        <w:rPr>
          <w:rFonts w:hint="eastAsia" w:ascii="Times New Roman" w:hAnsi="Times New Roman" w:eastAsia="仿宋_GB2312" w:cs="Times New Roman"/>
          <w:color w:val="000000" w:themeColor="text1"/>
          <w:sz w:val="28"/>
          <w:szCs w:val="28"/>
          <w:lang w:val="en-US" w:eastAsia="zh-CN"/>
          <w14:textFill>
            <w14:solidFill>
              <w14:schemeClr w14:val="tx1"/>
            </w14:solidFill>
          </w14:textFill>
        </w:rPr>
        <w:t>4</w:t>
      </w:r>
      <w:r>
        <w:rPr>
          <w:rFonts w:hint="eastAsia" w:ascii="仿宋_GB2312" w:hAnsi="仿宋_GB2312" w:eastAsia="仿宋_GB2312" w:cs="仿宋_GB2312"/>
          <w:color w:val="000000" w:themeColor="text1"/>
          <w:sz w:val="28"/>
          <w:szCs w:val="28"/>
          <w14:textFill>
            <w14:solidFill>
              <w14:schemeClr w14:val="tx1"/>
            </w14:solidFill>
          </w14:textFill>
        </w:rPr>
        <w:t>年度</w:t>
      </w:r>
      <w:r>
        <w:rPr>
          <w:rFonts w:hint="eastAsia" w:ascii="仿宋_GB2312" w:hAnsi="仿宋_GB2312" w:eastAsia="仿宋_GB2312" w:cs="仿宋_GB2312"/>
          <w:color w:val="000000" w:themeColor="text1"/>
          <w:sz w:val="28"/>
          <w:szCs w:val="28"/>
          <w:lang w:eastAsia="zh-CN"/>
          <w14:textFill>
            <w14:solidFill>
              <w14:schemeClr w14:val="tx1"/>
            </w14:solidFill>
          </w14:textFill>
        </w:rPr>
        <w:t>预算</w:t>
      </w:r>
      <w:r>
        <w:rPr>
          <w:rFonts w:hint="eastAsia" w:ascii="仿宋_GB2312" w:hAnsi="仿宋_GB2312" w:eastAsia="仿宋_GB2312" w:cs="仿宋_GB2312"/>
          <w:color w:val="000000" w:themeColor="text1"/>
          <w:sz w:val="28"/>
          <w:szCs w:val="28"/>
          <w14:textFill>
            <w14:solidFill>
              <w14:schemeClr w14:val="tx1"/>
            </w14:solidFill>
          </w14:textFill>
        </w:rPr>
        <w:t>绩效情况的说明</w:t>
      </w:r>
    </w:p>
    <w:p w14:paraId="4BFD60B3">
      <w:pPr>
        <w:pStyle w:val="13"/>
        <w:spacing w:line="500" w:lineRule="exact"/>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第四部分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名词解释</w:t>
      </w:r>
    </w:p>
    <w:p w14:paraId="128009C1">
      <w:pPr>
        <w:pStyle w:val="13"/>
        <w:spacing w:line="500" w:lineRule="exact"/>
        <w:rPr>
          <w:rFonts w:hint="eastAsia" w:ascii="黑体" w:hAnsi="黑体" w:eastAsia="黑体" w:cs="黑体"/>
          <w:b w:val="0"/>
          <w:bCs/>
          <w:color w:val="000000" w:themeColor="text1"/>
          <w:sz w:val="28"/>
          <w:szCs w:val="28"/>
          <w:lang w:eastAsia="zh-CN"/>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w:t>
      </w:r>
      <w:r>
        <w:rPr>
          <w:rFonts w:hint="eastAsia" w:hAnsi="黑体" w:cs="黑体"/>
          <w:b w:val="0"/>
          <w:bCs/>
          <w:color w:val="000000" w:themeColor="text1"/>
          <w:sz w:val="28"/>
          <w:szCs w:val="28"/>
          <w:lang w:eastAsia="zh-CN"/>
          <w14:textFill>
            <w14:solidFill>
              <w14:schemeClr w14:val="tx1"/>
            </w14:solidFill>
          </w14:textFill>
        </w:rPr>
        <w:t>五</w:t>
      </w:r>
      <w:r>
        <w:rPr>
          <w:rFonts w:hint="eastAsia" w:ascii="黑体" w:hAnsi="黑体" w:eastAsia="黑体" w:cs="黑体"/>
          <w:b w:val="0"/>
          <w:bCs/>
          <w:color w:val="000000" w:themeColor="text1"/>
          <w:sz w:val="28"/>
          <w:szCs w:val="28"/>
          <w14:textFill>
            <w14:solidFill>
              <w14:schemeClr w14:val="tx1"/>
            </w14:solidFill>
          </w14:textFill>
        </w:rPr>
        <w:t>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hAnsi="黑体" w:cs="黑体"/>
          <w:b w:val="0"/>
          <w:bCs/>
          <w:color w:val="000000" w:themeColor="text1"/>
          <w:sz w:val="28"/>
          <w:szCs w:val="28"/>
          <w:lang w:eastAsia="zh-CN"/>
          <w14:textFill>
            <w14:solidFill>
              <w14:schemeClr w14:val="tx1"/>
            </w14:solidFill>
          </w14:textFill>
        </w:rPr>
        <w:t>附件</w:t>
      </w:r>
    </w:p>
    <w:p w14:paraId="57D6F691">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08B66B98">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2E75969A">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35DE3DDC">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r>
        <w:rPr>
          <w:rFonts w:hint="eastAsia" w:ascii="方正小标宋_GBK" w:hAnsi="方正小标宋_GBK" w:eastAsia="方正小标宋_GBK" w:cs="方正小标宋_GBK"/>
          <w:color w:val="000000" w:themeColor="text1"/>
          <w:sz w:val="84"/>
          <w:szCs w:val="84"/>
          <w14:textFill>
            <w14:solidFill>
              <w14:schemeClr w14:val="tx1"/>
            </w14:solidFill>
          </w14:textFill>
        </w:rPr>
        <w:t>第一部分</w:t>
      </w:r>
    </w:p>
    <w:p w14:paraId="511A8254">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r>
        <w:rPr>
          <w:rFonts w:hint="eastAsia" w:ascii="方正小标宋_GBK" w:hAnsi="方正小标宋_GBK" w:eastAsia="方正小标宋_GBK" w:cs="方正小标宋_GBK"/>
          <w:color w:val="000000" w:themeColor="text1"/>
          <w:sz w:val="84"/>
          <w:szCs w:val="84"/>
          <w14:textFill>
            <w14:solidFill>
              <w14:schemeClr w14:val="tx1"/>
            </w14:solidFill>
          </w14:textFill>
        </w:rPr>
        <w:t xml:space="preserve"> </w:t>
      </w:r>
    </w:p>
    <w:p w14:paraId="02869EC9">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岳阳市动物疫病预防控制中心</w:t>
      </w:r>
    </w:p>
    <w:p w14:paraId="60A9282D">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概况</w:t>
      </w:r>
    </w:p>
    <w:p w14:paraId="1E1DEA95">
      <w:pPr>
        <w:pStyle w:val="8"/>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7AC8BCD3">
      <w:pPr>
        <w:pStyle w:val="4"/>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0A50F39F">
      <w:pPr>
        <w:pStyle w:val="4"/>
        <w:ind w:left="0" w:leftChars="0" w:firstLine="0" w:firstLineChars="0"/>
        <w:rPr>
          <w:rFonts w:hint="eastAsia" w:ascii="方正小标宋_GBK" w:hAnsi="方正小标宋_GBK" w:eastAsia="方正小标宋_GBK" w:cs="方正小标宋_GBK"/>
          <w:color w:val="000000" w:themeColor="text1"/>
          <w:sz w:val="32"/>
          <w:szCs w:val="32"/>
          <w14:textFill>
            <w14:solidFill>
              <w14:schemeClr w14:val="tx1"/>
            </w14:solidFill>
          </w14:textFill>
        </w:rPr>
      </w:pPr>
    </w:p>
    <w:p w14:paraId="6553E13A">
      <w:pPr>
        <w:rPr>
          <w:rFonts w:hint="eastAsia"/>
          <w:color w:val="000000" w:themeColor="text1"/>
          <w14:textFill>
            <w14:solidFill>
              <w14:schemeClr w14:val="tx1"/>
            </w14:solidFill>
          </w14:textFill>
        </w:rPr>
      </w:pPr>
    </w:p>
    <w:p w14:paraId="3E3CC83B">
      <w:pPr>
        <w:rPr>
          <w:rFonts w:hint="eastAsia" w:ascii="方正小标宋_GBK" w:hAnsi="方正小标宋_GBK" w:eastAsia="方正小标宋_GBK" w:cs="方正小标宋_GBK"/>
          <w:color w:val="000000" w:themeColor="text1"/>
          <w:sz w:val="32"/>
          <w:szCs w:val="32"/>
          <w14:textFill>
            <w14:solidFill>
              <w14:schemeClr w14:val="tx1"/>
            </w14:solidFill>
          </w14:textFill>
        </w:rPr>
      </w:pPr>
    </w:p>
    <w:p w14:paraId="53EBAE63">
      <w:pPr>
        <w:pStyle w:val="14"/>
        <w:numPr>
          <w:ilvl w:val="0"/>
          <w:numId w:val="0"/>
        </w:numPr>
        <w:ind w:leftChars="0" w:firstLine="640" w:firstLineChars="200"/>
        <w:jc w:val="left"/>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lang w:eastAsia="zh-CN"/>
          <w14:textFill>
            <w14:solidFill>
              <w14:schemeClr w14:val="tx1"/>
            </w14:solidFill>
          </w14:textFill>
        </w:rPr>
        <w:t>一、</w:t>
      </w:r>
      <w:r>
        <w:rPr>
          <w:rFonts w:hint="eastAsia" w:ascii="黑体" w:hAnsi="黑体" w:eastAsia="黑体" w:cs="黑体"/>
          <w:b w:val="0"/>
          <w:bCs w:val="0"/>
          <w:color w:val="000000" w:themeColor="text1"/>
          <w:sz w:val="32"/>
          <w:szCs w:val="32"/>
          <w14:textFill>
            <w14:solidFill>
              <w14:schemeClr w14:val="tx1"/>
            </w14:solidFill>
          </w14:textFill>
        </w:rPr>
        <w:t>部门职责</w:t>
      </w:r>
    </w:p>
    <w:p w14:paraId="5D11B69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岳阳市动物疫病预防控制中心（加挂“岳阳市动物血吸虫病防治工作站”牌子），为正科级公益一类事业单位，隶属岳阳市农业农村局。</w:t>
      </w:r>
    </w:p>
    <w:p w14:paraId="79042D9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主要工作职责：</w:t>
      </w:r>
    </w:p>
    <w:p w14:paraId="76E5B6A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1、参与制订全市动物防疫工作、计划和动物强制免疫方案等，并协助组织实施。</w:t>
      </w:r>
    </w:p>
    <w:p w14:paraId="4BF7F3D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2、承担动物疫病的监测、检测、诊断、流行病学调查、疫情报告及其他预防、控制等技术工作；按照国务院农业农村主管部门的规定和动物疫病监测计划，对动物疫病的发生、流行等情况进行监测，收集、分析、报告监测信息，预测动物疫病发生、流行趋势。</w:t>
      </w:r>
    </w:p>
    <w:p w14:paraId="133AF42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3、承担动物疫病净化、消灭的技术工作；按照动物疫病净化、消灭的规划和计划、开展动物疫病净化技术指导、培训，对动物疫病净化效果进行监测、评估。</w:t>
      </w:r>
    </w:p>
    <w:p w14:paraId="28ADF5F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4、对强制免疫计划实施情况和效果进行评估，并公布评估结果。</w:t>
      </w:r>
    </w:p>
    <w:p w14:paraId="473C885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5、承担对家畜血吸虫病监测、筛查、预测、流行病学调查、疫情报告和处理工作的技术支撑工作。</w:t>
      </w:r>
    </w:p>
    <w:p w14:paraId="24D7E85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6、完成市农业农村局交办的其他任务。</w:t>
      </w:r>
    </w:p>
    <w:p w14:paraId="07143EF3">
      <w:pPr>
        <w:widowControl/>
        <w:spacing w:line="600" w:lineRule="exact"/>
        <w:ind w:firstLine="640" w:firstLineChars="200"/>
        <w:rPr>
          <w:rFonts w:hint="eastAsia" w:ascii="黑体" w:hAnsi="黑体" w:eastAsia="黑体" w:cs="黑体"/>
          <w:b w:val="0"/>
          <w:bCs/>
          <w:color w:val="000000" w:themeColor="text1"/>
          <w:kern w:val="0"/>
          <w:sz w:val="32"/>
          <w:szCs w:val="32"/>
          <w14:textFill>
            <w14:solidFill>
              <w14:schemeClr w14:val="tx1"/>
            </w14:solidFill>
          </w14:textFill>
        </w:rPr>
      </w:pPr>
      <w:r>
        <w:rPr>
          <w:rFonts w:hint="eastAsia" w:ascii="黑体" w:hAnsi="黑体" w:eastAsia="黑体" w:cs="黑体"/>
          <w:b w:val="0"/>
          <w:bCs/>
          <w:color w:val="000000" w:themeColor="text1"/>
          <w:kern w:val="0"/>
          <w:sz w:val="32"/>
          <w:szCs w:val="32"/>
          <w:lang w:eastAsia="zh-CN"/>
          <w14:textFill>
            <w14:solidFill>
              <w14:schemeClr w14:val="tx1"/>
            </w14:solidFill>
          </w14:textFill>
        </w:rPr>
        <w:t>二、</w:t>
      </w:r>
      <w:r>
        <w:rPr>
          <w:rFonts w:hint="eastAsia" w:ascii="黑体" w:hAnsi="黑体" w:eastAsia="黑体" w:cs="黑体"/>
          <w:b w:val="0"/>
          <w:bCs/>
          <w:color w:val="000000" w:themeColor="text1"/>
          <w:kern w:val="0"/>
          <w:sz w:val="32"/>
          <w:szCs w:val="32"/>
          <w14:textFill>
            <w14:solidFill>
              <w14:schemeClr w14:val="tx1"/>
            </w14:solidFill>
          </w14:textFill>
        </w:rPr>
        <w:t>机构设置及决算单位构成</w:t>
      </w:r>
    </w:p>
    <w:p w14:paraId="0926BCD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color w:val="000000" w:themeColor="text1"/>
          <w:kern w:val="0"/>
          <w:sz w:val="32"/>
          <w:szCs w:val="32"/>
          <w14:textFill>
            <w14:solidFill>
              <w14:schemeClr w14:val="tx1"/>
            </w14:solidFill>
          </w14:textFill>
        </w:rPr>
      </w:pPr>
      <w:r>
        <w:rPr>
          <w:rFonts w:hint="eastAsia" w:ascii="Times New Roman" w:hAnsi="Times New Roman" w:eastAsia="仿宋_GB2312" w:cs="仿宋_GB2312"/>
          <w:bCs/>
          <w:color w:val="000000" w:themeColor="text1"/>
          <w:kern w:val="0"/>
          <w:sz w:val="32"/>
          <w:szCs w:val="32"/>
          <w14:textFill>
            <w14:solidFill>
              <w14:schemeClr w14:val="tx1"/>
            </w14:solidFill>
          </w14:textFill>
        </w:rPr>
        <w:t>（一）内设机构设置。岳阳市动物疫病预防控制中心内设3个职能股室：综合办公室、血清学检测室、病原学检测室。</w:t>
      </w:r>
    </w:p>
    <w:p w14:paraId="149AB44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color w:val="000000" w:themeColor="text1"/>
          <w14:textFill>
            <w14:solidFill>
              <w14:schemeClr w14:val="tx1"/>
            </w14:solidFill>
          </w14:textFill>
        </w:rPr>
      </w:pPr>
      <w:r>
        <w:rPr>
          <w:rFonts w:hint="eastAsia" w:ascii="Times New Roman" w:hAnsi="Times New Roman" w:eastAsia="仿宋_GB2312" w:cs="仿宋_GB2312"/>
          <w:bCs/>
          <w:color w:val="000000" w:themeColor="text1"/>
          <w:kern w:val="0"/>
          <w:sz w:val="32"/>
          <w:szCs w:val="32"/>
          <w14:textFill>
            <w14:solidFill>
              <w14:schemeClr w14:val="tx1"/>
            </w14:solidFill>
          </w14:textFill>
        </w:rPr>
        <w:t>（二）决算单位构成。</w:t>
      </w:r>
      <w:r>
        <w:rPr>
          <w:rFonts w:hint="eastAsia" w:ascii="Times New Roman" w:hAnsi="Times New Roman" w:eastAsia="仿宋_GB2312" w:cs="仿宋_GB2312"/>
          <w:bCs/>
          <w:color w:val="000000" w:themeColor="text1"/>
          <w:kern w:val="0"/>
          <w:sz w:val="32"/>
          <w:szCs w:val="32"/>
          <w:lang w:eastAsia="zh-CN"/>
          <w14:textFill>
            <w14:solidFill>
              <w14:schemeClr w14:val="tx1"/>
            </w14:solidFill>
          </w14:textFill>
        </w:rPr>
        <w:t>本单位无独立核算的下属单位，</w:t>
      </w:r>
      <w:r>
        <w:rPr>
          <w:rFonts w:hint="eastAsia" w:ascii="Times New Roman" w:hAnsi="Times New Roman" w:eastAsia="仿宋_GB2312" w:cs="仿宋_GB2312"/>
          <w:bCs/>
          <w:color w:val="000000" w:themeColor="text1"/>
          <w:kern w:val="0"/>
          <w:sz w:val="32"/>
          <w:szCs w:val="32"/>
          <w:lang w:val="en-US" w:eastAsia="zh-CN"/>
          <w14:textFill>
            <w14:solidFill>
              <w14:schemeClr w14:val="tx1"/>
            </w14:solidFill>
          </w14:textFill>
        </w:rPr>
        <w:t>2024年度部门决算汇总公开单位仅包括岳阳市动物疫病预防控制中心本级</w:t>
      </w:r>
      <w:r>
        <w:rPr>
          <w:rFonts w:hint="eastAsia" w:ascii="Times New Roman" w:hAnsi="Times New Roman" w:eastAsia="仿宋_GB2312" w:cs="仿宋_GB2312"/>
          <w:bCs/>
          <w:color w:val="000000" w:themeColor="text1"/>
          <w:kern w:val="0"/>
          <w:sz w:val="32"/>
          <w:szCs w:val="32"/>
          <w:lang w:eastAsia="zh-CN"/>
          <w14:textFill>
            <w14:solidFill>
              <w14:schemeClr w14:val="tx1"/>
            </w14:solidFill>
          </w14:textFill>
        </w:rPr>
        <w:t>。</w:t>
      </w:r>
    </w:p>
    <w:p w14:paraId="2DF3CB83">
      <w:pPr>
        <w:rPr>
          <w:color w:val="000000" w:themeColor="text1"/>
          <w14:textFill>
            <w14:solidFill>
              <w14:schemeClr w14:val="tx1"/>
            </w14:solidFill>
          </w14:textFill>
        </w:rPr>
      </w:pPr>
    </w:p>
    <w:p w14:paraId="02C78D6C">
      <w:pPr>
        <w:pStyle w:val="8"/>
        <w:rPr>
          <w:color w:val="000000" w:themeColor="text1"/>
          <w14:textFill>
            <w14:solidFill>
              <w14:schemeClr w14:val="tx1"/>
            </w14:solidFill>
          </w14:textFill>
        </w:rPr>
      </w:pPr>
    </w:p>
    <w:p w14:paraId="4729A758">
      <w:pPr>
        <w:pStyle w:val="4"/>
        <w:rPr>
          <w:color w:val="000000" w:themeColor="text1"/>
          <w14:textFill>
            <w14:solidFill>
              <w14:schemeClr w14:val="tx1"/>
            </w14:solidFill>
          </w14:textFill>
        </w:rPr>
      </w:pPr>
    </w:p>
    <w:p w14:paraId="58C2ECE3">
      <w:pPr>
        <w:rPr>
          <w:color w:val="000000" w:themeColor="text1"/>
          <w14:textFill>
            <w14:solidFill>
              <w14:schemeClr w14:val="tx1"/>
            </w14:solidFill>
          </w14:textFill>
        </w:rPr>
      </w:pPr>
    </w:p>
    <w:p w14:paraId="2308D481">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07E949C3">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661BBFC8">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3"/>
        <w:jc w:val="center"/>
        <w:rPr>
          <w:rFonts w:hint="eastAsia" w:ascii="方正小标宋_GBK" w:hAnsi="方正小标宋_GBK" w:eastAsia="方正小标宋_GBK" w:cs="方正小标宋_GBK"/>
          <w:sz w:val="84"/>
          <w:szCs w:val="84"/>
        </w:rPr>
      </w:pPr>
    </w:p>
    <w:p w14:paraId="3860F185">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637715D5">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5BAFB771">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03EFA6F2">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0A9739BE">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21F2EB51">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1BCB15AF">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30BD76DE">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67B295DB">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2A64C8D2">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7804FBAA">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3"/>
        <w:jc w:val="center"/>
        <w:rPr>
          <w:rFonts w:hint="eastAsia" w:ascii="方正小标宋_GBK" w:hAnsi="方正小标宋_GBK" w:eastAsia="方正小标宋_GBK" w:cs="方正小标宋_GBK"/>
          <w:sz w:val="70"/>
          <w:szCs w:val="70"/>
        </w:rPr>
      </w:pPr>
    </w:p>
    <w:p w14:paraId="4F77A5A6">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77437062">
      <w:pPr>
        <w:pStyle w:val="13"/>
        <w:jc w:val="center"/>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44C7D4DB">
      <w:pPr>
        <w:pStyle w:val="13"/>
        <w:jc w:val="center"/>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2E9F9141">
      <w:pPr>
        <w:pStyle w:val="13"/>
        <w:jc w:val="center"/>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5065E451">
      <w:pPr>
        <w:pStyle w:val="13"/>
        <w:jc w:val="center"/>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62CD288D">
      <w:pPr>
        <w:pStyle w:val="13"/>
        <w:jc w:val="both"/>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6E83D463">
      <w:pPr>
        <w:widowControl/>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p>
    <w:p w14:paraId="7E8A20A9">
      <w:pPr>
        <w:widowControl/>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p>
    <w:p w14:paraId="223DD536">
      <w:pPr>
        <w:widowControl/>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p>
    <w:p w14:paraId="16A0F504">
      <w:pPr>
        <w:widowControl/>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p>
    <w:p w14:paraId="21753C21">
      <w:pPr>
        <w:widowControl/>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由于</w:t>
      </w:r>
      <w:r>
        <w:rPr>
          <w:rFonts w:hint="eastAsia" w:ascii="仿宋_GB2312" w:hAnsi="仿宋_GB2312" w:eastAsia="仿宋_GB2312" w:cs="仿宋_GB2312"/>
          <w:color w:val="000000" w:themeColor="text1"/>
          <w:sz w:val="32"/>
          <w:szCs w:val="32"/>
          <w:lang w:eastAsia="zh-CN"/>
          <w14:textFill>
            <w14:solidFill>
              <w14:schemeClr w14:val="tx1"/>
            </w14:solidFill>
          </w14:textFill>
        </w:rPr>
        <w:t>部门</w:t>
      </w:r>
      <w:r>
        <w:rPr>
          <w:rFonts w:hint="eastAsia" w:ascii="仿宋_GB2312" w:hAnsi="仿宋_GB2312" w:eastAsia="仿宋_GB2312" w:cs="仿宋_GB2312"/>
          <w:color w:val="000000" w:themeColor="text1"/>
          <w:sz w:val="32"/>
          <w:szCs w:val="32"/>
          <w14:textFill>
            <w14:solidFill>
              <w14:schemeClr w14:val="tx1"/>
            </w14:solidFill>
          </w14:textFill>
        </w:rPr>
        <w:t>决算编制时</w:t>
      </w:r>
      <w:r>
        <w:rPr>
          <w:rFonts w:hint="eastAsia" w:ascii="仿宋_GB2312" w:hAnsi="仿宋_GB2312" w:eastAsia="仿宋_GB2312" w:cs="仿宋_GB2312"/>
          <w:color w:val="000000" w:themeColor="text1"/>
          <w:sz w:val="32"/>
          <w:szCs w:val="32"/>
          <w:lang w:eastAsia="zh-CN"/>
          <w14:textFill>
            <w14:solidFill>
              <w14:schemeClr w14:val="tx1"/>
            </w14:solidFill>
          </w14:textFill>
        </w:rPr>
        <w:t>数据</w:t>
      </w:r>
      <w:r>
        <w:rPr>
          <w:rFonts w:hint="eastAsia" w:ascii="仿宋_GB2312" w:hAnsi="仿宋_GB2312" w:eastAsia="仿宋_GB2312" w:cs="仿宋_GB2312"/>
          <w:color w:val="000000" w:themeColor="text1"/>
          <w:sz w:val="32"/>
          <w:szCs w:val="32"/>
          <w14:textFill>
            <w14:solidFill>
              <w14:schemeClr w14:val="tx1"/>
            </w14:solidFill>
          </w14:textFill>
        </w:rPr>
        <w:t>明细</w:t>
      </w:r>
      <w:r>
        <w:rPr>
          <w:rFonts w:hint="eastAsia" w:ascii="仿宋_GB2312" w:hAnsi="仿宋_GB2312" w:eastAsia="仿宋_GB2312" w:cs="仿宋_GB2312"/>
          <w:color w:val="000000" w:themeColor="text1"/>
          <w:sz w:val="32"/>
          <w:szCs w:val="32"/>
          <w:lang w:eastAsia="zh-CN"/>
          <w14:textFill>
            <w14:solidFill>
              <w14:schemeClr w14:val="tx1"/>
            </w14:solidFill>
          </w14:textFill>
        </w:rPr>
        <w:t>至“金额单位：元</w:t>
      </w:r>
      <w:r>
        <w:rPr>
          <w:rFonts w:hint="eastAsia" w:ascii="仿宋_GB2312" w:hAnsi="仿宋_GB2312" w:eastAsia="仿宋_GB2312" w:cs="仿宋_GB2312"/>
          <w:color w:val="000000" w:themeColor="text1"/>
          <w:sz w:val="32"/>
          <w:szCs w:val="32"/>
          <w14:textFill>
            <w14:solidFill>
              <w14:schemeClr w14:val="tx1"/>
            </w14:solidFill>
          </w14:textFill>
        </w:rPr>
        <w:t>”，而</w:t>
      </w:r>
      <w:r>
        <w:rPr>
          <w:rFonts w:hint="eastAsia" w:ascii="仿宋_GB2312" w:hAnsi="仿宋_GB2312" w:eastAsia="仿宋_GB2312" w:cs="仿宋_GB2312"/>
          <w:color w:val="000000" w:themeColor="text1"/>
          <w:sz w:val="32"/>
          <w:szCs w:val="32"/>
          <w:lang w:eastAsia="zh-CN"/>
          <w14:textFill>
            <w14:solidFill>
              <w14:schemeClr w14:val="tx1"/>
            </w14:solidFill>
          </w14:textFill>
        </w:rPr>
        <w:t>本套部门决算文字说明</w:t>
      </w:r>
      <w:r>
        <w:rPr>
          <w:rFonts w:hint="eastAsia" w:ascii="仿宋_GB2312" w:hAnsi="仿宋_GB2312" w:eastAsia="仿宋_GB2312" w:cs="仿宋_GB2312"/>
          <w:color w:val="000000" w:themeColor="text1"/>
          <w:sz w:val="32"/>
          <w:szCs w:val="32"/>
          <w14:textFill>
            <w14:solidFill>
              <w14:schemeClr w14:val="tx1"/>
            </w14:solidFill>
          </w14:textFill>
        </w:rPr>
        <w:t>和公开表格</w:t>
      </w:r>
      <w:r>
        <w:rPr>
          <w:rFonts w:hint="eastAsia" w:ascii="仿宋_GB2312" w:hAnsi="仿宋_GB2312" w:eastAsia="仿宋_GB2312" w:cs="仿宋_GB2312"/>
          <w:color w:val="000000" w:themeColor="text1"/>
          <w:sz w:val="32"/>
          <w:szCs w:val="32"/>
          <w:lang w:eastAsia="zh-CN"/>
          <w14:textFill>
            <w14:solidFill>
              <w14:schemeClr w14:val="tx1"/>
            </w14:solidFill>
          </w14:textFill>
        </w:rPr>
        <w:t>数据</w:t>
      </w:r>
      <w:r>
        <w:rPr>
          <w:rFonts w:hint="eastAsia" w:ascii="仿宋_GB2312" w:hAnsi="仿宋_GB2312" w:eastAsia="仿宋_GB2312" w:cs="仿宋_GB2312"/>
          <w:color w:val="000000" w:themeColor="text1"/>
          <w:sz w:val="32"/>
          <w:szCs w:val="32"/>
          <w14:textFill>
            <w14:solidFill>
              <w14:schemeClr w14:val="tx1"/>
            </w14:solidFill>
          </w14:textFill>
        </w:rPr>
        <w:t>取数</w:t>
      </w:r>
      <w:r>
        <w:rPr>
          <w:rFonts w:hint="eastAsia" w:ascii="仿宋_GB2312" w:hAnsi="仿宋_GB2312" w:eastAsia="仿宋_GB2312" w:cs="仿宋_GB2312"/>
          <w:color w:val="000000" w:themeColor="text1"/>
          <w:sz w:val="32"/>
          <w:szCs w:val="32"/>
          <w:lang w:eastAsia="zh-CN"/>
          <w14:textFill>
            <w14:solidFill>
              <w14:schemeClr w14:val="tx1"/>
            </w14:solidFill>
          </w14:textFill>
        </w:rPr>
        <w:t>转换为</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金额单位：</w:t>
      </w:r>
      <w:r>
        <w:rPr>
          <w:rFonts w:hint="eastAsia" w:ascii="仿宋_GB2312" w:hAnsi="仿宋_GB2312" w:eastAsia="仿宋_GB2312" w:cs="仿宋_GB2312"/>
          <w:color w:val="000000" w:themeColor="text1"/>
          <w:sz w:val="32"/>
          <w:szCs w:val="32"/>
          <w14:textFill>
            <w14:solidFill>
              <w14:schemeClr w14:val="tx1"/>
            </w14:solidFill>
          </w14:textFill>
        </w:rPr>
        <w:t>万元”，可能导致</w:t>
      </w:r>
      <w:r>
        <w:rPr>
          <w:rFonts w:hint="eastAsia" w:ascii="仿宋_GB2312" w:hAnsi="仿宋_GB2312" w:eastAsia="仿宋_GB2312" w:cs="仿宋_GB2312"/>
          <w:color w:val="000000" w:themeColor="text1"/>
          <w:sz w:val="32"/>
          <w:szCs w:val="32"/>
          <w:lang w:eastAsia="zh-CN"/>
          <w14:textFill>
            <w14:solidFill>
              <w14:schemeClr w14:val="tx1"/>
            </w14:solidFill>
          </w14:textFill>
        </w:rPr>
        <w:t>以下文字说明中的各项数据取数以及公开</w:t>
      </w:r>
      <w:r>
        <w:rPr>
          <w:rFonts w:hint="eastAsia" w:ascii="仿宋_GB2312" w:hAnsi="仿宋_GB2312" w:eastAsia="仿宋_GB2312" w:cs="仿宋_GB2312"/>
          <w:color w:val="000000" w:themeColor="text1"/>
          <w:sz w:val="32"/>
          <w:szCs w:val="32"/>
          <w14:textFill>
            <w14:solidFill>
              <w14:schemeClr w14:val="tx1"/>
            </w14:solidFill>
          </w14:textFill>
        </w:rPr>
        <w:t>表格</w:t>
      </w:r>
      <w:r>
        <w:rPr>
          <w:rFonts w:hint="eastAsia" w:ascii="仿宋_GB2312" w:hAnsi="仿宋_GB2312" w:eastAsia="仿宋_GB2312" w:cs="仿宋_GB2312"/>
          <w:color w:val="000000" w:themeColor="text1"/>
          <w:sz w:val="32"/>
          <w:szCs w:val="32"/>
          <w:lang w:eastAsia="zh-CN"/>
          <w14:textFill>
            <w14:solidFill>
              <w14:schemeClr w14:val="tx1"/>
            </w14:solidFill>
          </w14:textFill>
        </w:rPr>
        <w:t>中的各项数据取数之间存在</w:t>
      </w:r>
      <w:r>
        <w:rPr>
          <w:rFonts w:hint="eastAsia" w:ascii="仿宋_GB2312" w:hAnsi="仿宋_GB2312" w:eastAsia="仿宋_GB2312" w:cs="仿宋_GB2312"/>
          <w:color w:val="000000" w:themeColor="text1"/>
          <w:sz w:val="32"/>
          <w:szCs w:val="32"/>
          <w14:textFill>
            <w14:solidFill>
              <w14:schemeClr w14:val="tx1"/>
            </w14:solidFill>
          </w14:textFill>
        </w:rPr>
        <w:t>0.01的尾数差异。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2、以下文字说明中，部分科目由于预算数为0，无法计算完成年初预算的百分比，故未描述“</w:t>
      </w:r>
      <w:r>
        <w:rPr>
          <w:rFonts w:hint="eastAsia" w:ascii="仿宋_GB2312" w:hAnsi="仿宋_GB2312" w:eastAsia="仿宋_GB2312" w:cs="仿宋_GB2312"/>
          <w:color w:val="000000" w:themeColor="text1"/>
          <w:sz w:val="32"/>
          <w:szCs w:val="32"/>
          <w14:textFill>
            <w14:solidFill>
              <w14:schemeClr w14:val="tx1"/>
            </w14:solidFill>
          </w14:textFill>
        </w:rPr>
        <w:t>完成年初预算的XX%</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p>
    <w:p w14:paraId="2482E08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一、收入支出决算总体情况说明</w:t>
      </w:r>
    </w:p>
    <w:p w14:paraId="54B137D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年度收、支总计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452.45</w:t>
      </w:r>
      <w:r>
        <w:rPr>
          <w:rFonts w:hint="eastAsia" w:ascii="仿宋_GB2312" w:hAnsi="仿宋_GB2312" w:eastAsia="仿宋_GB2312" w:cs="仿宋_GB2312"/>
          <w:color w:val="000000" w:themeColor="text1"/>
          <w:sz w:val="32"/>
          <w:szCs w:val="32"/>
          <w14:textFill>
            <w14:solidFill>
              <w14:schemeClr w14:val="tx1"/>
            </w14:solidFill>
          </w14:textFill>
        </w:rPr>
        <w:t>万元。与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2023年463.16万元</w:t>
      </w:r>
      <w:r>
        <w:rPr>
          <w:rFonts w:hint="eastAsia" w:ascii="仿宋_GB2312" w:hAnsi="仿宋_GB2312" w:eastAsia="仿宋_GB2312" w:cs="仿宋_GB2312"/>
          <w:color w:val="000000" w:themeColor="text1"/>
          <w:sz w:val="32"/>
          <w:szCs w:val="32"/>
          <w14:textFill>
            <w14:solidFill>
              <w14:schemeClr w14:val="tx1"/>
            </w14:solidFill>
          </w14:textFill>
        </w:rPr>
        <w:t>相比，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减少10.71</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减少2.31</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主要是因为</w:t>
      </w:r>
      <w:r>
        <w:rPr>
          <w:rFonts w:hint="eastAsia" w:ascii="Times New Roman" w:hAnsi="Times New Roman" w:eastAsia="仿宋_GB2312"/>
          <w:color w:val="auto"/>
          <w:sz w:val="32"/>
          <w:szCs w:val="32"/>
        </w:rPr>
        <w:t>一是今年“四海揽才”新进</w:t>
      </w:r>
      <w:r>
        <w:rPr>
          <w:rFonts w:hint="eastAsia" w:ascii="Times New Roman" w:hAnsi="Times New Roman" w:eastAsia="仿宋_GB2312"/>
          <w:color w:val="auto"/>
          <w:sz w:val="32"/>
          <w:szCs w:val="32"/>
          <w:lang w:val="en-US" w:eastAsia="zh-CN"/>
        </w:rPr>
        <w:t>一名</w:t>
      </w:r>
      <w:r>
        <w:rPr>
          <w:rFonts w:hint="eastAsia" w:ascii="Times New Roman" w:hAnsi="Times New Roman" w:eastAsia="仿宋_GB2312"/>
          <w:color w:val="auto"/>
          <w:sz w:val="32"/>
          <w:szCs w:val="32"/>
          <w:lang w:eastAsia="zh-CN"/>
        </w:rPr>
        <w:t>工作</w:t>
      </w:r>
      <w:r>
        <w:rPr>
          <w:rFonts w:hint="eastAsia" w:ascii="Times New Roman" w:hAnsi="Times New Roman" w:eastAsia="仿宋_GB2312"/>
          <w:color w:val="auto"/>
          <w:sz w:val="32"/>
          <w:szCs w:val="32"/>
        </w:rPr>
        <w:t>人员</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较去年减少两人</w:t>
      </w:r>
      <w:r>
        <w:rPr>
          <w:rFonts w:hint="eastAsia" w:ascii="Times New Roman" w:hAnsi="Times New Roman" w:eastAsia="仿宋_GB2312"/>
          <w:color w:val="auto"/>
          <w:sz w:val="32"/>
          <w:szCs w:val="32"/>
        </w:rPr>
        <w:t>；二是</w:t>
      </w:r>
      <w:r>
        <w:rPr>
          <w:rFonts w:hint="eastAsia" w:ascii="Times New Roman" w:hAnsi="Times New Roman" w:eastAsia="仿宋_GB2312"/>
          <w:color w:val="auto"/>
          <w:sz w:val="32"/>
          <w:szCs w:val="32"/>
          <w:lang w:val="en-US" w:eastAsia="zh-CN"/>
        </w:rPr>
        <w:t>支付</w:t>
      </w:r>
      <w:r>
        <w:rPr>
          <w:rFonts w:hint="eastAsia" w:ascii="Times New Roman" w:hAnsi="Times New Roman" w:eastAsia="仿宋_GB2312"/>
          <w:color w:val="auto"/>
          <w:sz w:val="32"/>
          <w:szCs w:val="32"/>
          <w:lang w:val="en-US" w:eastAsia="zh-CN"/>
        </w:rPr>
        <w:t>去年</w:t>
      </w:r>
      <w:r>
        <w:rPr>
          <w:rFonts w:hint="eastAsia" w:ascii="Times New Roman" w:hAnsi="Times New Roman" w:eastAsia="仿宋_GB2312"/>
          <w:color w:val="auto"/>
          <w:sz w:val="32"/>
          <w:szCs w:val="32"/>
        </w:rPr>
        <w:t>实验室升级改造项目</w:t>
      </w:r>
      <w:r>
        <w:rPr>
          <w:rFonts w:hint="eastAsia" w:ascii="Times New Roman" w:hAnsi="Times New Roman" w:eastAsia="仿宋_GB2312"/>
          <w:color w:val="auto"/>
          <w:sz w:val="32"/>
          <w:szCs w:val="32"/>
          <w:lang w:val="en-US" w:eastAsia="zh-CN"/>
        </w:rPr>
        <w:t>剩余</w:t>
      </w:r>
      <w:r>
        <w:rPr>
          <w:rFonts w:hint="eastAsia" w:ascii="Times New Roman" w:hAnsi="Times New Roman" w:eastAsia="仿宋_GB2312"/>
          <w:color w:val="auto"/>
          <w:sz w:val="32"/>
          <w:szCs w:val="32"/>
        </w:rPr>
        <w:t>部分支出</w:t>
      </w:r>
      <w:r>
        <w:rPr>
          <w:rFonts w:hint="eastAsia" w:ascii="Times New Roman" w:hAnsi="Times New Roman" w:eastAsia="仿宋_GB2312"/>
          <w:color w:val="auto"/>
          <w:sz w:val="32"/>
          <w:szCs w:val="32"/>
          <w:lang w:eastAsia="zh-CN"/>
        </w:rPr>
        <w:t>。</w:t>
      </w:r>
    </w:p>
    <w:p w14:paraId="1B2E2A8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二、收入决算情况说明</w:t>
      </w:r>
    </w:p>
    <w:p w14:paraId="309CBB9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年度收入合计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452.45</w:t>
      </w:r>
      <w:r>
        <w:rPr>
          <w:rFonts w:hint="eastAsia" w:ascii="仿宋_GB2312" w:hAnsi="仿宋_GB2312" w:eastAsia="仿宋_GB2312" w:cs="仿宋_GB2312"/>
          <w:color w:val="000000" w:themeColor="text1"/>
          <w:sz w:val="32"/>
          <w:szCs w:val="32"/>
          <w14:textFill>
            <w14:solidFill>
              <w14:schemeClr w14:val="tx1"/>
            </w14:solidFill>
          </w14:textFill>
        </w:rPr>
        <w:t>元，其中：财政拨款收入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452.45</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%；上级补助收入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%；事业收入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%；经营收入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%；附属单位上缴收入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%；其他收入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w:t>
      </w:r>
    </w:p>
    <w:p w14:paraId="4CA2A48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三、支出决算情况说明</w:t>
      </w:r>
    </w:p>
    <w:p w14:paraId="7D1AD71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年度支出合计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452.45</w:t>
      </w:r>
      <w:r>
        <w:rPr>
          <w:rFonts w:hint="eastAsia" w:ascii="仿宋_GB2312" w:hAnsi="仿宋_GB2312" w:eastAsia="仿宋_GB2312" w:cs="仿宋_GB2312"/>
          <w:color w:val="000000" w:themeColor="text1"/>
          <w:sz w:val="32"/>
          <w:szCs w:val="32"/>
          <w14:textFill>
            <w14:solidFill>
              <w14:schemeClr w14:val="tx1"/>
            </w14:solidFill>
          </w14:textFill>
        </w:rPr>
        <w:t>万元，其中：基本支出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237.65</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52.53</w:t>
      </w:r>
      <w:r>
        <w:rPr>
          <w:rFonts w:hint="eastAsia" w:ascii="仿宋_GB2312" w:hAnsi="仿宋_GB2312" w:eastAsia="仿宋_GB2312" w:cs="仿宋_GB2312"/>
          <w:color w:val="000000" w:themeColor="text1"/>
          <w:sz w:val="32"/>
          <w:szCs w:val="32"/>
          <w14:textFill>
            <w14:solidFill>
              <w14:schemeClr w14:val="tx1"/>
            </w14:solidFill>
          </w14:textFill>
        </w:rPr>
        <w:t>%；项目支出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214.80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47.47</w:t>
      </w:r>
      <w:r>
        <w:rPr>
          <w:rFonts w:hint="eastAsia" w:ascii="仿宋_GB2312" w:hAnsi="仿宋_GB2312" w:eastAsia="仿宋_GB2312" w:cs="仿宋_GB2312"/>
          <w:color w:val="000000" w:themeColor="text1"/>
          <w:sz w:val="32"/>
          <w:szCs w:val="32"/>
          <w14:textFill>
            <w14:solidFill>
              <w14:schemeClr w14:val="tx1"/>
            </w14:solidFill>
          </w14:textFill>
        </w:rPr>
        <w:t>%；上缴上级支出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%；经营支出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%；对附属单位补助支出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w:t>
      </w:r>
    </w:p>
    <w:p w14:paraId="586880A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四、财政拨款收入支出决算总体情况说明</w:t>
      </w:r>
    </w:p>
    <w:p w14:paraId="6F8F5F0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年度财政拨款收、支总计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452.45</w:t>
      </w:r>
      <w:r>
        <w:rPr>
          <w:rFonts w:hint="eastAsia" w:ascii="仿宋_GB2312" w:hAnsi="仿宋_GB2312" w:eastAsia="仿宋_GB2312" w:cs="仿宋_GB2312"/>
          <w:color w:val="000000" w:themeColor="text1"/>
          <w:sz w:val="32"/>
          <w:szCs w:val="32"/>
          <w14:textFill>
            <w14:solidFill>
              <w14:schemeClr w14:val="tx1"/>
            </w14:solidFill>
          </w14:textFill>
        </w:rPr>
        <w:t>万元，与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2023年463.16万元</w:t>
      </w:r>
      <w:r>
        <w:rPr>
          <w:rFonts w:hint="eastAsia" w:ascii="仿宋_GB2312" w:hAnsi="仿宋_GB2312" w:eastAsia="仿宋_GB2312" w:cs="仿宋_GB2312"/>
          <w:color w:val="000000" w:themeColor="text1"/>
          <w:sz w:val="32"/>
          <w:szCs w:val="32"/>
          <w14:textFill>
            <w14:solidFill>
              <w14:schemeClr w14:val="tx1"/>
            </w14:solidFill>
          </w14:textFill>
        </w:rPr>
        <w:t>相比，</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减少10.71</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减少2.31</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主要是因为</w:t>
      </w:r>
      <w:r>
        <w:rPr>
          <w:rFonts w:hint="eastAsia" w:ascii="Times New Roman" w:hAnsi="Times New Roman" w:eastAsia="仿宋_GB2312"/>
          <w:color w:val="auto"/>
          <w:sz w:val="32"/>
          <w:szCs w:val="32"/>
        </w:rPr>
        <w:t>一是今年“四海揽才”新进</w:t>
      </w:r>
      <w:r>
        <w:rPr>
          <w:rFonts w:hint="eastAsia" w:ascii="Times New Roman" w:hAnsi="Times New Roman" w:eastAsia="仿宋_GB2312"/>
          <w:color w:val="auto"/>
          <w:sz w:val="32"/>
          <w:szCs w:val="32"/>
          <w:lang w:val="en-US" w:eastAsia="zh-CN"/>
        </w:rPr>
        <w:t>一名</w:t>
      </w:r>
      <w:r>
        <w:rPr>
          <w:rFonts w:hint="eastAsia" w:ascii="Times New Roman" w:hAnsi="Times New Roman" w:eastAsia="仿宋_GB2312"/>
          <w:color w:val="auto"/>
          <w:sz w:val="32"/>
          <w:szCs w:val="32"/>
          <w:lang w:eastAsia="zh-CN"/>
        </w:rPr>
        <w:t>工作</w:t>
      </w:r>
      <w:r>
        <w:rPr>
          <w:rFonts w:hint="eastAsia" w:ascii="Times New Roman" w:hAnsi="Times New Roman" w:eastAsia="仿宋_GB2312"/>
          <w:color w:val="auto"/>
          <w:sz w:val="32"/>
          <w:szCs w:val="32"/>
        </w:rPr>
        <w:t>人员</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较去年减少两人</w:t>
      </w:r>
      <w:r>
        <w:rPr>
          <w:rFonts w:hint="eastAsia" w:ascii="Times New Roman" w:hAnsi="Times New Roman" w:eastAsia="仿宋_GB2312"/>
          <w:color w:val="auto"/>
          <w:sz w:val="32"/>
          <w:szCs w:val="32"/>
        </w:rPr>
        <w:t>；二是</w:t>
      </w:r>
      <w:r>
        <w:rPr>
          <w:rFonts w:hint="eastAsia" w:ascii="Times New Roman" w:hAnsi="Times New Roman" w:eastAsia="仿宋_GB2312"/>
          <w:color w:val="auto"/>
          <w:sz w:val="32"/>
          <w:szCs w:val="32"/>
          <w:lang w:val="en-US" w:eastAsia="zh-CN"/>
        </w:rPr>
        <w:t>支付去年</w:t>
      </w:r>
      <w:r>
        <w:rPr>
          <w:rFonts w:hint="eastAsia" w:ascii="Times New Roman" w:hAnsi="Times New Roman" w:eastAsia="仿宋_GB2312"/>
          <w:color w:val="auto"/>
          <w:sz w:val="32"/>
          <w:szCs w:val="32"/>
        </w:rPr>
        <w:t>实验室升级改造项目</w:t>
      </w:r>
      <w:r>
        <w:rPr>
          <w:rFonts w:hint="eastAsia" w:ascii="Times New Roman" w:hAnsi="Times New Roman" w:eastAsia="仿宋_GB2312"/>
          <w:color w:val="auto"/>
          <w:sz w:val="32"/>
          <w:szCs w:val="32"/>
          <w:lang w:val="en-US" w:eastAsia="zh-CN"/>
        </w:rPr>
        <w:t>剩余</w:t>
      </w:r>
      <w:r>
        <w:rPr>
          <w:rFonts w:hint="eastAsia" w:ascii="Times New Roman" w:hAnsi="Times New Roman" w:eastAsia="仿宋_GB2312"/>
          <w:color w:val="auto"/>
          <w:sz w:val="32"/>
          <w:szCs w:val="32"/>
        </w:rPr>
        <w:t>部分支出</w:t>
      </w:r>
      <w:r>
        <w:rPr>
          <w:rFonts w:hint="eastAsia" w:ascii="Times New Roman" w:hAnsi="Times New Roman" w:eastAsia="仿宋_GB2312"/>
          <w:color w:val="auto"/>
          <w:sz w:val="32"/>
          <w:szCs w:val="32"/>
          <w:lang w:eastAsia="zh-CN"/>
        </w:rPr>
        <w:t>。</w:t>
      </w:r>
    </w:p>
    <w:p w14:paraId="5710EF7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五、一般公共预算财政拨款支出决算情况说明</w:t>
      </w:r>
    </w:p>
    <w:p w14:paraId="4A5427E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（一）一般公共预算财政拨款支出决算总体情况</w:t>
      </w:r>
    </w:p>
    <w:p w14:paraId="5C561D53">
      <w:pPr>
        <w:pStyle w:val="13"/>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w:t>
      </w:r>
      <w:r>
        <w:rPr>
          <w:rFonts w:hint="eastAsia" w:ascii="仿宋_GB2312" w:hAnsi="仿宋_GB2312" w:eastAsia="仿宋_GB2312" w:cs="仿宋_GB2312"/>
          <w:color w:val="000000" w:themeColor="text1"/>
          <w:sz w:val="32"/>
          <w:szCs w:val="32"/>
          <w:lang w:eastAsia="zh-CN"/>
          <w14:textFill>
            <w14:solidFill>
              <w14:schemeClr w14:val="tx1"/>
            </w14:solidFill>
          </w14:textFill>
        </w:rPr>
        <w:t>一般公共预算</w:t>
      </w:r>
      <w:r>
        <w:rPr>
          <w:rFonts w:hint="eastAsia" w:ascii="仿宋_GB2312" w:hAnsi="仿宋_GB2312" w:eastAsia="仿宋_GB2312" w:cs="仿宋_GB2312"/>
          <w:color w:val="000000" w:themeColor="text1"/>
          <w:sz w:val="32"/>
          <w:szCs w:val="32"/>
          <w14:textFill>
            <w14:solidFill>
              <w14:schemeClr w14:val="tx1"/>
            </w14:solidFill>
          </w14:textFill>
        </w:rPr>
        <w:t>财政拨款支出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452.45</w:t>
      </w:r>
      <w:r>
        <w:rPr>
          <w:rFonts w:hint="eastAsia" w:ascii="仿宋_GB2312" w:hAnsi="仿宋_GB2312" w:eastAsia="仿宋_GB2312" w:cs="仿宋_GB2312"/>
          <w:color w:val="000000" w:themeColor="text1"/>
          <w:sz w:val="32"/>
          <w:szCs w:val="32"/>
          <w14:textFill>
            <w14:solidFill>
              <w14:schemeClr w14:val="tx1"/>
            </w14:solidFill>
          </w14:textFill>
        </w:rPr>
        <w:t>万元，占本年支出合计的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2023年463.16万元</w:t>
      </w:r>
      <w:r>
        <w:rPr>
          <w:rFonts w:hint="eastAsia" w:ascii="仿宋_GB2312" w:hAnsi="仿宋_GB2312" w:eastAsia="仿宋_GB2312" w:cs="仿宋_GB2312"/>
          <w:color w:val="000000" w:themeColor="text1"/>
          <w:sz w:val="32"/>
          <w:szCs w:val="32"/>
          <w14:textFill>
            <w14:solidFill>
              <w14:schemeClr w14:val="tx1"/>
            </w14:solidFill>
          </w14:textFill>
        </w:rPr>
        <w:t>相比，</w:t>
      </w:r>
      <w:r>
        <w:rPr>
          <w:rFonts w:hint="eastAsia" w:ascii="仿宋_GB2312" w:hAnsi="仿宋_GB2312" w:eastAsia="仿宋_GB2312" w:cs="仿宋_GB2312"/>
          <w:color w:val="000000" w:themeColor="text1"/>
          <w:sz w:val="32"/>
          <w:szCs w:val="32"/>
          <w:lang w:eastAsia="zh-CN"/>
          <w14:textFill>
            <w14:solidFill>
              <w14:schemeClr w14:val="tx1"/>
            </w14:solidFill>
          </w14:textFill>
        </w:rPr>
        <w:t>一般公共预算</w:t>
      </w:r>
      <w:r>
        <w:rPr>
          <w:rFonts w:hint="eastAsia" w:ascii="仿宋_GB2312" w:hAnsi="仿宋_GB2312" w:eastAsia="仿宋_GB2312" w:cs="仿宋_GB2312"/>
          <w:color w:val="000000" w:themeColor="text1"/>
          <w:sz w:val="32"/>
          <w:szCs w:val="32"/>
          <w14:textFill>
            <w14:solidFill>
              <w14:schemeClr w14:val="tx1"/>
            </w14:solidFill>
          </w14:textFill>
        </w:rPr>
        <w:t>财政拨款支出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减少10.71</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减少2.31</w:t>
      </w:r>
      <w:r>
        <w:rPr>
          <w:rFonts w:hint="eastAsia" w:ascii="仿宋_GB2312" w:hAnsi="仿宋_GB2312" w:eastAsia="仿宋_GB2312" w:cs="仿宋_GB2312"/>
          <w:color w:val="000000" w:themeColor="text1"/>
          <w:sz w:val="32"/>
          <w:szCs w:val="32"/>
          <w14:textFill>
            <w14:solidFill>
              <w14:schemeClr w14:val="tx1"/>
            </w14:solidFill>
          </w14:textFill>
        </w:rPr>
        <w:t>%，主要是因为</w:t>
      </w:r>
      <w:r>
        <w:rPr>
          <w:rFonts w:hint="eastAsia" w:ascii="Times New Roman" w:hAnsi="Times New Roman" w:eastAsia="仿宋_GB2312"/>
          <w:color w:val="auto"/>
          <w:sz w:val="32"/>
          <w:szCs w:val="32"/>
        </w:rPr>
        <w:t>一是今年“四海揽才”新进</w:t>
      </w:r>
      <w:r>
        <w:rPr>
          <w:rFonts w:hint="eastAsia" w:ascii="Times New Roman" w:hAnsi="Times New Roman" w:eastAsia="仿宋_GB2312"/>
          <w:color w:val="auto"/>
          <w:sz w:val="32"/>
          <w:szCs w:val="32"/>
          <w:lang w:val="en-US" w:eastAsia="zh-CN"/>
        </w:rPr>
        <w:t>一名</w:t>
      </w:r>
      <w:r>
        <w:rPr>
          <w:rFonts w:hint="eastAsia" w:ascii="Times New Roman" w:hAnsi="Times New Roman" w:eastAsia="仿宋_GB2312"/>
          <w:color w:val="auto"/>
          <w:sz w:val="32"/>
          <w:szCs w:val="32"/>
          <w:lang w:eastAsia="zh-CN"/>
        </w:rPr>
        <w:t>工作</w:t>
      </w:r>
      <w:r>
        <w:rPr>
          <w:rFonts w:hint="eastAsia" w:ascii="Times New Roman" w:hAnsi="Times New Roman" w:eastAsia="仿宋_GB2312"/>
          <w:color w:val="auto"/>
          <w:sz w:val="32"/>
          <w:szCs w:val="32"/>
        </w:rPr>
        <w:t>人员</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较去年减少两人</w:t>
      </w:r>
      <w:r>
        <w:rPr>
          <w:rFonts w:hint="eastAsia" w:ascii="Times New Roman" w:hAnsi="Times New Roman" w:eastAsia="仿宋_GB2312"/>
          <w:color w:val="auto"/>
          <w:sz w:val="32"/>
          <w:szCs w:val="32"/>
        </w:rPr>
        <w:t>；二是</w:t>
      </w:r>
      <w:r>
        <w:rPr>
          <w:rFonts w:hint="eastAsia" w:ascii="Times New Roman" w:hAnsi="Times New Roman" w:eastAsia="仿宋_GB2312"/>
          <w:color w:val="auto"/>
          <w:sz w:val="32"/>
          <w:szCs w:val="32"/>
          <w:lang w:val="en-US" w:eastAsia="zh-CN"/>
        </w:rPr>
        <w:t>支付去年</w:t>
      </w:r>
      <w:r>
        <w:rPr>
          <w:rFonts w:hint="eastAsia" w:ascii="Times New Roman" w:hAnsi="Times New Roman" w:eastAsia="仿宋_GB2312"/>
          <w:color w:val="auto"/>
          <w:sz w:val="32"/>
          <w:szCs w:val="32"/>
        </w:rPr>
        <w:t>实验室升级改造项目</w:t>
      </w:r>
      <w:r>
        <w:rPr>
          <w:rFonts w:hint="eastAsia" w:ascii="Times New Roman" w:hAnsi="Times New Roman" w:eastAsia="仿宋_GB2312"/>
          <w:color w:val="auto"/>
          <w:sz w:val="32"/>
          <w:szCs w:val="32"/>
          <w:lang w:val="en-US" w:eastAsia="zh-CN"/>
        </w:rPr>
        <w:t>剩余</w:t>
      </w:r>
      <w:r>
        <w:rPr>
          <w:rFonts w:hint="eastAsia" w:ascii="Times New Roman" w:hAnsi="Times New Roman" w:eastAsia="仿宋_GB2312"/>
          <w:color w:val="auto"/>
          <w:sz w:val="32"/>
          <w:szCs w:val="32"/>
        </w:rPr>
        <w:t>部分支出</w:t>
      </w:r>
      <w:r>
        <w:rPr>
          <w:rFonts w:hint="eastAsia" w:ascii="Times New Roman" w:hAnsi="Times New Roman" w:eastAsia="仿宋_GB2312"/>
          <w:color w:val="000000" w:themeColor="text1"/>
          <w:sz w:val="32"/>
          <w:szCs w:val="32"/>
          <w:lang w:eastAsia="zh-CN"/>
          <w14:textFill>
            <w14:solidFill>
              <w14:schemeClr w14:val="tx1"/>
            </w14:solidFill>
          </w14:textFill>
        </w:rPr>
        <w:t>。</w:t>
      </w:r>
    </w:p>
    <w:p w14:paraId="757525B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（二）一般公共预算财政拨款支出决算结构情况</w:t>
      </w:r>
    </w:p>
    <w:p w14:paraId="21C8C5D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w:t>
      </w:r>
      <w:r>
        <w:rPr>
          <w:rFonts w:hint="eastAsia" w:ascii="仿宋_GB2312" w:hAnsi="仿宋_GB2312" w:eastAsia="仿宋_GB2312" w:cs="仿宋_GB2312"/>
          <w:color w:val="000000" w:themeColor="text1"/>
          <w:sz w:val="32"/>
          <w:szCs w:val="32"/>
          <w:lang w:eastAsia="zh-CN"/>
          <w14:textFill>
            <w14:solidFill>
              <w14:schemeClr w14:val="tx1"/>
            </w14:solidFill>
          </w14:textFill>
        </w:rPr>
        <w:t>一般公共预算</w:t>
      </w:r>
      <w:r>
        <w:rPr>
          <w:rFonts w:hint="eastAsia" w:ascii="仿宋_GB2312" w:hAnsi="仿宋_GB2312" w:eastAsia="仿宋_GB2312" w:cs="仿宋_GB2312"/>
          <w:color w:val="000000" w:themeColor="text1"/>
          <w:sz w:val="32"/>
          <w:szCs w:val="32"/>
          <w14:textFill>
            <w14:solidFill>
              <w14:schemeClr w14:val="tx1"/>
            </w14:solidFill>
          </w14:textFill>
        </w:rPr>
        <w:t>财政拨款支出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452.45</w:t>
      </w:r>
      <w:r>
        <w:rPr>
          <w:rFonts w:hint="eastAsia" w:ascii="仿宋_GB2312" w:hAnsi="仿宋_GB2312" w:eastAsia="仿宋_GB2312" w:cs="仿宋_GB2312"/>
          <w:color w:val="000000" w:themeColor="text1"/>
          <w:sz w:val="32"/>
          <w:szCs w:val="32"/>
          <w14:textFill>
            <w14:solidFill>
              <w14:schemeClr w14:val="tx1"/>
            </w14:solidFill>
          </w14:textFill>
        </w:rPr>
        <w:t>万元，主要用于以下方面：</w:t>
      </w:r>
      <w:r>
        <w:rPr>
          <w:rFonts w:hint="eastAsia" w:ascii="仿宋_GB2312" w:hAnsi="仿宋_GB2312" w:eastAsia="仿宋_GB2312" w:cs="仿宋_GB2312"/>
          <w:color w:val="000000" w:themeColor="text1"/>
          <w:sz w:val="32"/>
          <w:szCs w:val="32"/>
          <w:lang w:val="en-US"/>
          <w14:textFill>
            <w14:solidFill>
              <w14:schemeClr w14:val="tx1"/>
            </w14:solidFill>
          </w14:textFill>
        </w:rPr>
        <w:t>社会保障和就业（类）支出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31.80万</w:t>
      </w:r>
      <w:r>
        <w:rPr>
          <w:rFonts w:hint="eastAsia" w:ascii="仿宋_GB2312" w:hAnsi="仿宋_GB2312" w:eastAsia="仿宋_GB2312" w:cs="仿宋_GB2312"/>
          <w:color w:val="000000" w:themeColor="text1"/>
          <w:sz w:val="32"/>
          <w:szCs w:val="32"/>
          <w:lang w:val="en-US"/>
          <w14:textFill>
            <w14:solidFill>
              <w14:schemeClr w14:val="tx1"/>
            </w14:solidFill>
          </w14:textFill>
        </w:rPr>
        <w:t>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7.03</w:t>
      </w:r>
      <w:r>
        <w:rPr>
          <w:rFonts w:hint="eastAsia" w:ascii="仿宋_GB2312" w:hAnsi="仿宋_GB2312" w:eastAsia="仿宋_GB2312" w:cs="仿宋_GB2312"/>
          <w:color w:val="000000" w:themeColor="text1"/>
          <w:sz w:val="32"/>
          <w:szCs w:val="32"/>
          <w:lang w:val="en-US"/>
          <w14:textFill>
            <w14:solidFill>
              <w14:schemeClr w14:val="tx1"/>
            </w14:solidFill>
          </w14:textFill>
        </w:rPr>
        <w:t>%；卫生健康（类）支出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7.94万</w:t>
      </w:r>
      <w:r>
        <w:rPr>
          <w:rFonts w:hint="eastAsia" w:ascii="仿宋_GB2312" w:hAnsi="仿宋_GB2312" w:eastAsia="仿宋_GB2312" w:cs="仿宋_GB2312"/>
          <w:color w:val="000000" w:themeColor="text1"/>
          <w:sz w:val="32"/>
          <w:szCs w:val="32"/>
          <w:lang w:val="en-US"/>
          <w14:textFill>
            <w14:solidFill>
              <w14:schemeClr w14:val="tx1"/>
            </w14:solidFill>
          </w14:textFill>
        </w:rPr>
        <w:t>元，占1.</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75</w:t>
      </w:r>
      <w:r>
        <w:rPr>
          <w:rFonts w:hint="eastAsia" w:ascii="仿宋_GB2312" w:hAnsi="仿宋_GB2312" w:eastAsia="仿宋_GB2312" w:cs="仿宋_GB2312"/>
          <w:color w:val="000000" w:themeColor="text1"/>
          <w:sz w:val="32"/>
          <w:szCs w:val="32"/>
          <w:lang w:val="en-US"/>
          <w14:textFill>
            <w14:solidFill>
              <w14:schemeClr w14:val="tx1"/>
            </w14:solidFill>
          </w14:textFill>
        </w:rPr>
        <w:t>%；农林水（类）支出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396.63万</w:t>
      </w:r>
      <w:r>
        <w:rPr>
          <w:rFonts w:hint="eastAsia" w:ascii="仿宋_GB2312" w:hAnsi="仿宋_GB2312" w:eastAsia="仿宋_GB2312" w:cs="仿宋_GB2312"/>
          <w:color w:val="000000" w:themeColor="text1"/>
          <w:sz w:val="32"/>
          <w:szCs w:val="32"/>
          <w:lang w:val="en-US"/>
          <w14:textFill>
            <w14:solidFill>
              <w14:schemeClr w14:val="tx1"/>
            </w14:solidFill>
          </w14:textFill>
        </w:rPr>
        <w:t>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87.66</w:t>
      </w:r>
      <w:r>
        <w:rPr>
          <w:rFonts w:hint="eastAsia" w:ascii="仿宋_GB2312" w:hAnsi="仿宋_GB2312" w:eastAsia="仿宋_GB2312" w:cs="仿宋_GB2312"/>
          <w:color w:val="000000" w:themeColor="text1"/>
          <w:sz w:val="32"/>
          <w:szCs w:val="32"/>
          <w:lang w:val="en-US"/>
          <w14:textFill>
            <w14:solidFill>
              <w14:schemeClr w14:val="tx1"/>
            </w14:solidFill>
          </w14:textFill>
        </w:rPr>
        <w:t>%；住房保障（类）支出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16.10万</w:t>
      </w:r>
      <w:r>
        <w:rPr>
          <w:rFonts w:hint="eastAsia" w:ascii="仿宋_GB2312" w:hAnsi="仿宋_GB2312" w:eastAsia="仿宋_GB2312" w:cs="仿宋_GB2312"/>
          <w:color w:val="000000" w:themeColor="text1"/>
          <w:sz w:val="32"/>
          <w:szCs w:val="32"/>
          <w:lang w:val="en-US"/>
          <w14:textFill>
            <w14:solidFill>
              <w14:schemeClr w14:val="tx1"/>
            </w14:solidFill>
          </w14:textFill>
        </w:rPr>
        <w:t>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3.56</w:t>
      </w:r>
      <w:r>
        <w:rPr>
          <w:rFonts w:hint="eastAsia" w:ascii="仿宋_GB2312" w:hAnsi="仿宋_GB2312" w:eastAsia="仿宋_GB2312" w:cs="仿宋_GB2312"/>
          <w:color w:val="000000" w:themeColor="text1"/>
          <w:sz w:val="32"/>
          <w:szCs w:val="32"/>
          <w:lang w:val="en-US"/>
          <w14:textFill>
            <w14:solidFill>
              <w14:schemeClr w14:val="tx1"/>
            </w14:solidFill>
          </w14:textFill>
        </w:rPr>
        <w:t>%；</w:t>
      </w:r>
    </w:p>
    <w:p w14:paraId="1A523FA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（三）一般公共预算财政拨款支出决算具体情况</w:t>
      </w:r>
    </w:p>
    <w:p w14:paraId="3CC5230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w:t>
      </w:r>
      <w:r>
        <w:rPr>
          <w:rFonts w:hint="eastAsia" w:ascii="仿宋_GB2312" w:hAnsi="仿宋_GB2312" w:eastAsia="仿宋_GB2312" w:cs="仿宋_GB2312"/>
          <w:color w:val="000000" w:themeColor="text1"/>
          <w:sz w:val="32"/>
          <w:szCs w:val="32"/>
          <w:lang w:eastAsia="zh-CN"/>
          <w14:textFill>
            <w14:solidFill>
              <w14:schemeClr w14:val="tx1"/>
            </w14:solidFill>
          </w14:textFill>
        </w:rPr>
        <w:t>一般公共预算</w:t>
      </w:r>
      <w:r>
        <w:rPr>
          <w:rFonts w:hint="eastAsia" w:ascii="仿宋_GB2312" w:hAnsi="仿宋_GB2312" w:eastAsia="仿宋_GB2312" w:cs="仿宋_GB2312"/>
          <w:color w:val="000000" w:themeColor="text1"/>
          <w:sz w:val="32"/>
          <w:szCs w:val="32"/>
          <w14:textFill>
            <w14:solidFill>
              <w14:schemeClr w14:val="tx1"/>
            </w14:solidFill>
          </w14:textFill>
        </w:rPr>
        <w:t>财政拨款支出年初预算数为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256.83</w:t>
      </w:r>
      <w:r>
        <w:rPr>
          <w:rFonts w:hint="eastAsia" w:ascii="仿宋_GB2312" w:hAnsi="仿宋_GB2312" w:eastAsia="仿宋_GB2312" w:cs="仿宋_GB2312"/>
          <w:color w:val="000000" w:themeColor="text1"/>
          <w:sz w:val="32"/>
          <w:szCs w:val="32"/>
          <w14:textFill>
            <w14:solidFill>
              <w14:schemeClr w14:val="tx1"/>
            </w14:solidFill>
          </w14:textFill>
        </w:rPr>
        <w:t>万元，支出决算数为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452.45</w:t>
      </w:r>
      <w:r>
        <w:rPr>
          <w:rFonts w:hint="eastAsia" w:ascii="仿宋_GB2312" w:hAnsi="仿宋_GB2312" w:eastAsia="仿宋_GB2312" w:cs="仿宋_GB2312"/>
          <w:color w:val="000000" w:themeColor="text1"/>
          <w:sz w:val="32"/>
          <w:szCs w:val="32"/>
          <w14:textFill>
            <w14:solidFill>
              <w14:schemeClr w14:val="tx1"/>
            </w14:solidFill>
          </w14:textFill>
        </w:rPr>
        <w:t>万元，完成年初预算的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176.17</w:t>
      </w:r>
      <w:r>
        <w:rPr>
          <w:rFonts w:hint="eastAsia" w:ascii="仿宋_GB2312" w:hAnsi="仿宋_GB2312" w:eastAsia="仿宋_GB2312" w:cs="仿宋_GB2312"/>
          <w:color w:val="000000" w:themeColor="text1"/>
          <w:sz w:val="32"/>
          <w:szCs w:val="32"/>
          <w14:textFill>
            <w14:solidFill>
              <w14:schemeClr w14:val="tx1"/>
            </w14:solidFill>
          </w14:textFill>
        </w:rPr>
        <w:t>%，其中：</w:t>
      </w:r>
    </w:p>
    <w:p w14:paraId="39F31D1E">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社会保障和就业支出（类）行政事业单位养老支出（款）事业单位离退休（项）。</w:t>
      </w:r>
    </w:p>
    <w:p w14:paraId="16968FB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olor w:val="000000" w:themeColor="text1"/>
          <w:sz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年初预算为6.12万元，支出决算为6.12万元，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完成年初预算的100%，</w:t>
      </w:r>
      <w:r>
        <w:rPr>
          <w:rFonts w:hint="eastAsia" w:ascii="仿宋_GB2312" w:hAnsi="仿宋_GB2312" w:eastAsia="仿宋_GB2312"/>
          <w:color w:val="000000" w:themeColor="text1"/>
          <w:sz w:val="32"/>
          <w:lang w:val="en-US" w:eastAsia="zh-CN" w:bidi="ar-SA"/>
          <w14:textFill>
            <w14:solidFill>
              <w14:schemeClr w14:val="tx1"/>
            </w14:solidFill>
          </w14:textFill>
        </w:rPr>
        <w:t>决算数等于年初预算数的主要原因是：</w:t>
      </w:r>
      <w:r>
        <w:rPr>
          <w:rFonts w:hint="eastAsia" w:ascii="仿宋_GB2312" w:hAnsi="仿宋_GB2312" w:eastAsia="仿宋_GB2312" w:cs="Times New Roman"/>
          <w:color w:val="000000" w:themeColor="text1"/>
          <w:kern w:val="2"/>
          <w:sz w:val="32"/>
          <w:szCs w:val="20"/>
          <w:lang w:val="en-US" w:eastAsia="zh-CN" w:bidi="ar-SA"/>
          <w14:textFill>
            <w14:solidFill>
              <w14:schemeClr w14:val="tx1"/>
            </w14:solidFill>
          </w14:textFill>
        </w:rPr>
        <w:t>我单位严格按预算执行决算</w:t>
      </w:r>
      <w:r>
        <w:rPr>
          <w:rFonts w:hint="eastAsia" w:ascii="仿宋_GB2312" w:hAnsi="仿宋_GB2312" w:eastAsia="仿宋_GB2312"/>
          <w:color w:val="000000" w:themeColor="text1"/>
          <w:sz w:val="32"/>
          <w:lang w:val="en-US" w:eastAsia="zh-CN" w:bidi="ar-SA"/>
          <w14:textFill>
            <w14:solidFill>
              <w14:schemeClr w14:val="tx1"/>
            </w14:solidFill>
          </w14:textFill>
        </w:rPr>
        <w:t>。</w:t>
      </w:r>
    </w:p>
    <w:p w14:paraId="3400DF5F">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社会保障和就业支出（类）行政事业单位养老支出（款）机关事业单位基本养老保险缴费支出（项）。</w:t>
      </w:r>
    </w:p>
    <w:p w14:paraId="158B6F79">
      <w:pPr>
        <w:widowControl w:val="0"/>
        <w:numPr>
          <w:ilvl w:val="0"/>
          <w:numId w:val="0"/>
        </w:numPr>
        <w:spacing w:line="600" w:lineRule="exact"/>
        <w:ind w:firstLine="640" w:firstLineChars="200"/>
        <w:jc w:val="left"/>
        <w:rPr>
          <w:rFonts w:hint="eastAsia" w:ascii="仿宋_GB2312" w:hAnsi="仿宋_GB2312" w:eastAsia="仿宋_GB2312"/>
          <w:color w:val="000000" w:themeColor="text1"/>
          <w:sz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年初预算为22.29万元，支出决算为19.35万元，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86.81</w:t>
      </w:r>
      <w:r>
        <w:rPr>
          <w:rFonts w:hint="eastAsia" w:ascii="仿宋_GB2312" w:hAnsi="仿宋_GB2312" w:eastAsia="仿宋_GB2312" w:cs="仿宋_GB2312"/>
          <w:color w:val="000000" w:themeColor="text1"/>
          <w:sz w:val="32"/>
          <w:szCs w:val="32"/>
          <w14:textFill>
            <w14:solidFill>
              <w14:schemeClr w14:val="tx1"/>
            </w14:solidFill>
          </w14:textFill>
        </w:rPr>
        <w:t>%，决算数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小于</w:t>
      </w:r>
      <w:r>
        <w:rPr>
          <w:rFonts w:hint="eastAsia" w:ascii="仿宋_GB2312" w:hAnsi="仿宋_GB2312" w:eastAsia="仿宋_GB2312" w:cs="仿宋_GB2312"/>
          <w:color w:val="000000" w:themeColor="text1"/>
          <w:sz w:val="32"/>
          <w:szCs w:val="32"/>
          <w14:textFill>
            <w14:solidFill>
              <w14:schemeClr w14:val="tx1"/>
            </w14:solidFill>
          </w14:textFill>
        </w:rPr>
        <w:t>年初预算数的主要原因是：</w:t>
      </w:r>
      <w:r>
        <w:rPr>
          <w:rFonts w:hint="eastAsia" w:ascii="仿宋_GB2312" w:hAnsi="仿宋_GB2312" w:eastAsia="仿宋_GB2312"/>
          <w:color w:val="000000" w:themeColor="text1"/>
          <w:sz w:val="32"/>
          <w:lang w:val="en-US" w:eastAsia="zh-CN" w:bidi="ar-SA"/>
          <w14:textFill>
            <w14:solidFill>
              <w14:schemeClr w14:val="tx1"/>
            </w14:solidFill>
          </w14:textFill>
        </w:rPr>
        <w:t xml:space="preserve">人员异动，养老保险缴费支出略微减少。  </w:t>
      </w:r>
    </w:p>
    <w:p w14:paraId="1CAC3287">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社会保障和就业支出（类）其他社会保障和就业支出（款）其他社会保障和就业支出（项）。</w:t>
      </w:r>
    </w:p>
    <w:p w14:paraId="31577E2D">
      <w:pPr>
        <w:widowControl w:val="0"/>
        <w:numPr>
          <w:ilvl w:val="0"/>
          <w:numId w:val="0"/>
        </w:numPr>
        <w:spacing w:line="600" w:lineRule="exact"/>
        <w:ind w:firstLine="640" w:firstLineChars="200"/>
        <w:jc w:val="left"/>
        <w:rPr>
          <w:rFonts w:hint="eastAsia" w:ascii="仿宋_GB2312" w:hAnsi="仿宋_GB2312" w:eastAsia="仿宋_GB2312"/>
          <w:color w:val="000000" w:themeColor="text1"/>
          <w:sz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年初预算为4.21万元，支出决算为4.61万元，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109.50</w:t>
      </w:r>
      <w:r>
        <w:rPr>
          <w:rFonts w:hint="eastAsia" w:ascii="仿宋_GB2312" w:hAnsi="仿宋_GB2312" w:eastAsia="仿宋_GB2312" w:cs="仿宋_GB2312"/>
          <w:color w:val="000000" w:themeColor="text1"/>
          <w:sz w:val="32"/>
          <w:szCs w:val="32"/>
          <w14:textFill>
            <w14:solidFill>
              <w14:schemeClr w14:val="tx1"/>
            </w14:solidFill>
          </w14:textFill>
        </w:rPr>
        <w:t>%，决算数大于年初预算数的主要原因是：</w:t>
      </w:r>
      <w:r>
        <w:rPr>
          <w:rFonts w:hint="eastAsia" w:ascii="仿宋_GB2312" w:hAnsi="仿宋_GB2312" w:eastAsia="仿宋_GB2312"/>
          <w:color w:val="000000" w:themeColor="text1"/>
          <w:sz w:val="32"/>
          <w:lang w:val="en-US" w:eastAsia="zh-CN" w:bidi="ar-SA"/>
          <w14:textFill>
            <w14:solidFill>
              <w14:schemeClr w14:val="tx1"/>
            </w14:solidFill>
          </w14:textFill>
        </w:rPr>
        <w:t xml:space="preserve">人员异动，其他社会保障和就业支出略微增加。  </w:t>
      </w:r>
    </w:p>
    <w:p w14:paraId="3DE4E66A">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卫生健康支出（类）行政事业单位医疗（款）事业单位医疗（项）。  </w:t>
      </w:r>
    </w:p>
    <w:p w14:paraId="5303E20D">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年初预算为8.50万元，支出决算为7.94万元，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93.41</w:t>
      </w:r>
      <w:r>
        <w:rPr>
          <w:rFonts w:hint="eastAsia" w:ascii="仿宋_GB2312" w:hAnsi="仿宋_GB2312" w:eastAsia="仿宋_GB2312" w:cs="仿宋_GB2312"/>
          <w:color w:val="000000" w:themeColor="text1"/>
          <w:sz w:val="32"/>
          <w:szCs w:val="32"/>
          <w14:textFill>
            <w14:solidFill>
              <w14:schemeClr w14:val="tx1"/>
            </w14:solidFill>
          </w14:textFill>
        </w:rPr>
        <w:t>%，决算数小于年初预算数的主要原因是：</w:t>
      </w:r>
      <w:r>
        <w:rPr>
          <w:rFonts w:hint="eastAsia" w:ascii="仿宋_GB2312" w:hAnsi="仿宋_GB2312" w:eastAsia="仿宋_GB2312"/>
          <w:color w:val="000000" w:themeColor="text1"/>
          <w:sz w:val="32"/>
          <w:lang w:val="en-US" w:eastAsia="zh-CN" w:bidi="ar-SA"/>
          <w14:textFill>
            <w14:solidFill>
              <w14:schemeClr w14:val="tx1"/>
            </w14:solidFill>
          </w14:textFill>
        </w:rPr>
        <w:t>人员异动，事业单位医疗支出略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减。  </w:t>
      </w:r>
    </w:p>
    <w:p w14:paraId="190FE87F">
      <w:pPr>
        <w:keepNext/>
        <w:keepLines/>
        <w:numPr>
          <w:ilvl w:val="0"/>
          <w:numId w:val="1"/>
        </w:numPr>
        <w:spacing w:beforeLines="0" w:afterLines="0"/>
        <w:ind w:left="0" w:leftChars="0" w:firstLine="800" w:firstLineChars="250"/>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农林水支出（类）农业农村（款）事业运行（项）。</w:t>
      </w:r>
    </w:p>
    <w:p w14:paraId="798D340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年初预算为172.68万元，支出决算为162.93万元，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94.35</w:t>
      </w:r>
      <w:r>
        <w:rPr>
          <w:rFonts w:hint="eastAsia" w:ascii="仿宋_GB2312" w:hAnsi="仿宋_GB2312" w:eastAsia="仿宋_GB2312" w:cs="仿宋_GB2312"/>
          <w:color w:val="000000" w:themeColor="text1"/>
          <w:sz w:val="32"/>
          <w:szCs w:val="32"/>
          <w14:textFill>
            <w14:solidFill>
              <w14:schemeClr w14:val="tx1"/>
            </w14:solidFill>
          </w14:textFill>
        </w:rPr>
        <w:t>%，决算数小于年初预算数的主要原因是：</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本单位厉行节约。</w:t>
      </w:r>
    </w:p>
    <w:p w14:paraId="46203BC1">
      <w:pPr>
        <w:keepNext/>
        <w:keepLines/>
        <w:numPr>
          <w:ilvl w:val="0"/>
          <w:numId w:val="1"/>
        </w:numPr>
        <w:spacing w:beforeLines="0" w:afterLines="0"/>
        <w:ind w:left="0" w:leftChars="0" w:firstLine="800" w:firstLineChars="250"/>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农林水支出（类）农业农村（款）病虫害控制（项）。</w:t>
      </w:r>
    </w:p>
    <w:p w14:paraId="1B490748">
      <w:pPr>
        <w:widowControl w:val="0"/>
        <w:numPr>
          <w:ilvl w:val="0"/>
          <w:numId w:val="0"/>
        </w:numPr>
        <w:spacing w:line="600" w:lineRule="exact"/>
        <w:ind w:firstLine="640" w:firstLineChars="200"/>
        <w:jc w:val="left"/>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年初预算为0万元，支出决算为60.72万元，因预算数为0，无法计算百分比，主要原因是：</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该支出使用的是年中追加预算资金和上级转移支付资金。</w:t>
      </w:r>
    </w:p>
    <w:p w14:paraId="68DB219B">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农林水支出（类）农业农村（款）农产品质量安全（项）。</w:t>
      </w:r>
    </w:p>
    <w:p w14:paraId="7656C97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年初预算为24.30万元，支出决算为23.09万元，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95.02</w:t>
      </w:r>
      <w:r>
        <w:rPr>
          <w:rFonts w:hint="eastAsia" w:ascii="仿宋_GB2312" w:hAnsi="仿宋_GB2312" w:eastAsia="仿宋_GB2312" w:cs="仿宋_GB2312"/>
          <w:color w:val="000000" w:themeColor="text1"/>
          <w:sz w:val="32"/>
          <w:szCs w:val="32"/>
          <w14:textFill>
            <w14:solidFill>
              <w14:schemeClr w14:val="tx1"/>
            </w14:solidFill>
          </w14:textFill>
        </w:rPr>
        <w:t>%，决算数小于年初预算数的主要原因是：</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本单位厉行节约。</w:t>
      </w:r>
    </w:p>
    <w:p w14:paraId="584BD9AB">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农林水支出（类）农业农村（款）其他农业农村支出（项）。</w:t>
      </w:r>
    </w:p>
    <w:p w14:paraId="47023C88">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年初预算为0.51万元，支出决算为111.08万元，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21780.39</w:t>
      </w:r>
      <w:r>
        <w:rPr>
          <w:rFonts w:hint="eastAsia" w:ascii="仿宋_GB2312" w:hAnsi="仿宋_GB2312" w:eastAsia="仿宋_GB2312" w:cs="仿宋_GB2312"/>
          <w:color w:val="000000" w:themeColor="text1"/>
          <w:sz w:val="32"/>
          <w:szCs w:val="32"/>
          <w14:textFill>
            <w14:solidFill>
              <w14:schemeClr w14:val="tx1"/>
            </w14:solidFill>
          </w14:textFill>
        </w:rPr>
        <w:t>%，决算数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大于</w:t>
      </w:r>
      <w:r>
        <w:rPr>
          <w:rFonts w:hint="eastAsia" w:ascii="仿宋_GB2312" w:hAnsi="仿宋_GB2312" w:eastAsia="仿宋_GB2312" w:cs="仿宋_GB2312"/>
          <w:color w:val="000000" w:themeColor="text1"/>
          <w:sz w:val="32"/>
          <w:szCs w:val="32"/>
          <w14:textFill>
            <w14:solidFill>
              <w14:schemeClr w14:val="tx1"/>
            </w14:solidFill>
          </w14:textFill>
        </w:rPr>
        <w:t>年初预算数的主要原因是：</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该支出使用的是年中追加预算资金和上级转移支付资金。</w:t>
      </w:r>
    </w:p>
    <w:p w14:paraId="70D1A278">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 xml:space="preserve">农林水支出（类）林业和草原（款）其他林业和草原支出（项）。  </w:t>
      </w:r>
    </w:p>
    <w:p w14:paraId="5CD43B61">
      <w:pPr>
        <w:widowControl w:val="0"/>
        <w:numPr>
          <w:ilvl w:val="0"/>
          <w:numId w:val="0"/>
        </w:numPr>
        <w:spacing w:line="600" w:lineRule="exact"/>
        <w:ind w:firstLine="640" w:firstLineChars="20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年初预算为0万元，支出决算为38.81万元，因预算数为0，无法计算百分比，主要原因是：此项支出为实验室升级改造项目支出，使用的是中央转移支付资金。</w:t>
      </w:r>
    </w:p>
    <w:p w14:paraId="534B142F">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住房保障支出（类）住房改革支出（款）住房公积金（项）。</w:t>
      </w:r>
    </w:p>
    <w:p w14:paraId="2B2F9FB9">
      <w:pPr>
        <w:widowControl w:val="0"/>
        <w:numPr>
          <w:ilvl w:val="0"/>
          <w:numId w:val="0"/>
        </w:numPr>
        <w:spacing w:line="600" w:lineRule="exact"/>
        <w:ind w:firstLine="640" w:firstLineChars="20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年初预算为16.10万元，支出决算为16.10万元，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完成年初预算的100%，</w:t>
      </w:r>
      <w:r>
        <w:rPr>
          <w:rFonts w:hint="eastAsia" w:ascii="仿宋_GB2312" w:hAnsi="仿宋_GB2312" w:eastAsia="仿宋_GB2312"/>
          <w:color w:val="000000" w:themeColor="text1"/>
          <w:sz w:val="32"/>
          <w:lang w:val="en-US" w:eastAsia="zh-CN" w:bidi="ar-SA"/>
          <w14:textFill>
            <w14:solidFill>
              <w14:schemeClr w14:val="tx1"/>
            </w14:solidFill>
          </w14:textFill>
        </w:rPr>
        <w:t>决算数等于年初预算数的主要原因是：</w:t>
      </w:r>
      <w:r>
        <w:rPr>
          <w:rFonts w:hint="eastAsia" w:ascii="仿宋_GB2312" w:hAnsi="仿宋_GB2312" w:eastAsia="仿宋_GB2312" w:cs="Times New Roman"/>
          <w:color w:val="000000" w:themeColor="text1"/>
          <w:kern w:val="2"/>
          <w:sz w:val="32"/>
          <w:szCs w:val="20"/>
          <w:lang w:val="en-US" w:eastAsia="zh-CN" w:bidi="ar-SA"/>
          <w14:textFill>
            <w14:solidFill>
              <w14:schemeClr w14:val="tx1"/>
            </w14:solidFill>
          </w14:textFill>
        </w:rPr>
        <w:t>我单位严格按预算执行决算</w:t>
      </w:r>
      <w:r>
        <w:rPr>
          <w:rFonts w:hint="eastAsia" w:ascii="仿宋_GB2312" w:hAnsi="仿宋_GB2312" w:eastAsia="仿宋_GB2312"/>
          <w:color w:val="000000" w:themeColor="text1"/>
          <w:sz w:val="32"/>
          <w:lang w:val="en-US" w:eastAsia="zh-CN" w:bidi="ar-SA"/>
          <w14:textFill>
            <w14:solidFill>
              <w14:schemeClr w14:val="tx1"/>
            </w14:solidFill>
          </w14:textFill>
        </w:rPr>
        <w:t>。</w:t>
      </w:r>
    </w:p>
    <w:p w14:paraId="6F9EB41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六、一般公共预算财政拨款基本支出决算情况说明</w:t>
      </w:r>
    </w:p>
    <w:p w14:paraId="564E6EC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年度财政拨款基本支出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237.65</w:t>
      </w:r>
      <w:r>
        <w:rPr>
          <w:rFonts w:hint="eastAsia" w:ascii="仿宋_GB2312" w:hAnsi="仿宋_GB2312" w:eastAsia="仿宋_GB2312" w:cs="仿宋_GB2312"/>
          <w:color w:val="000000" w:themeColor="text1"/>
          <w:sz w:val="32"/>
          <w:szCs w:val="32"/>
          <w14:textFill>
            <w14:solidFill>
              <w14:schemeClr w14:val="tx1"/>
            </w14:solidFill>
          </w14:textFill>
        </w:rPr>
        <w:t>万元，其中：</w:t>
      </w:r>
    </w:p>
    <w:p w14:paraId="2386C29A">
      <w:pPr>
        <w:widowControl w:val="0"/>
        <w:spacing w:line="600" w:lineRule="exact"/>
        <w:ind w:firstLine="800" w:firstLineChars="250"/>
        <w:jc w:val="left"/>
        <w:rPr>
          <w:rFonts w:hint="eastAsia" w:ascii="仿宋_GB2312" w:hAnsi="仿宋_GB2312" w:eastAsia="仿宋_GB2312" w:cs="Times New Roman"/>
          <w:color w:val="000000" w:themeColor="text1"/>
          <w:sz w:val="32"/>
          <w:szCs w:val="20"/>
          <w:lang w:val="zh-CN" w:eastAsia="zh-CN" w:bidi="ar-SA"/>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人员经费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219.05</w:t>
      </w:r>
      <w:r>
        <w:rPr>
          <w:rFonts w:hint="eastAsia" w:ascii="仿宋_GB2312" w:hAnsi="仿宋_GB2312" w:eastAsia="仿宋_GB2312" w:cs="仿宋_GB2312"/>
          <w:color w:val="000000" w:themeColor="text1"/>
          <w:sz w:val="32"/>
          <w:szCs w:val="32"/>
          <w14:textFill>
            <w14:solidFill>
              <w14:schemeClr w14:val="tx1"/>
            </w14:solidFill>
          </w14:textFill>
        </w:rPr>
        <w:t>万元，占基本支出的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92.17</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Times New Roman"/>
          <w:color w:val="000000" w:themeColor="text1"/>
          <w:sz w:val="32"/>
          <w:szCs w:val="20"/>
          <w:lang w:val="en-US" w:eastAsia="zh-CN" w:bidi="ar-SA"/>
          <w14:textFill>
            <w14:solidFill>
              <w14:schemeClr w14:val="tx1"/>
            </w14:solidFill>
          </w14:textFill>
        </w:rPr>
        <w:t>主要包括基本工资、津贴补贴、</w:t>
      </w:r>
      <w:r>
        <w:rPr>
          <w:rFonts w:hint="eastAsia" w:ascii="仿宋_GB2312" w:hAnsi="仿宋_GB2312" w:eastAsia="仿宋_GB2312" w:cs="Times New Roman"/>
          <w:color w:val="000000" w:themeColor="text1"/>
          <w:sz w:val="32"/>
          <w:szCs w:val="20"/>
          <w:lang w:val="zh-CN" w:eastAsia="zh-CN" w:bidi="ar-SA"/>
          <w14:textFill>
            <w14:solidFill>
              <w14:schemeClr w14:val="tx1"/>
            </w14:solidFill>
          </w14:textFill>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14:paraId="6395E3E5">
      <w:pPr>
        <w:widowControl w:val="0"/>
        <w:spacing w:line="600" w:lineRule="exact"/>
        <w:ind w:firstLine="640" w:firstLineChars="200"/>
        <w:jc w:val="left"/>
        <w:rPr>
          <w:rFonts w:hint="eastAsia"/>
          <w:color w:val="000000" w:themeColor="text1"/>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公用经费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18.60</w:t>
      </w:r>
      <w:r>
        <w:rPr>
          <w:rFonts w:hint="eastAsia" w:ascii="仿宋_GB2312" w:hAnsi="仿宋_GB2312" w:eastAsia="仿宋_GB2312" w:cs="仿宋_GB2312"/>
          <w:color w:val="000000" w:themeColor="text1"/>
          <w:sz w:val="32"/>
          <w:szCs w:val="32"/>
          <w14:textFill>
            <w14:solidFill>
              <w14:schemeClr w14:val="tx1"/>
            </w14:solidFill>
          </w14:textFill>
        </w:rPr>
        <w:t>万元，占基本支出的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7.83</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主要包括</w:t>
      </w:r>
      <w:r>
        <w:rPr>
          <w:rFonts w:hint="eastAsia" w:ascii="仿宋_GB2312" w:hAnsi="仿宋_GB2312" w:eastAsia="仿宋_GB2312" w:cs="Times New Roman"/>
          <w:color w:val="000000" w:themeColor="text1"/>
          <w:sz w:val="32"/>
          <w:szCs w:val="20"/>
          <w:lang w:val="en-US" w:eastAsia="zh-CN" w:bidi="ar-SA"/>
          <w14:textFill>
            <w14:solidFill>
              <w14:schemeClr w14:val="tx1"/>
            </w14:solidFill>
          </w14:textFill>
        </w:rPr>
        <w:t>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14:paraId="5DB4BB7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七、政府性基金预算收入支出决算情况</w:t>
      </w:r>
    </w:p>
    <w:p w14:paraId="043AE6F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themeColor="text1"/>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年度政府性基金预算财政拨款收入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万元；年初结转和结余</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万元，其中基本支出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万元，项目支出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万元；年末结转和结余</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w:t>
      </w:r>
    </w:p>
    <w:p w14:paraId="303BD1B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themeColor="text1"/>
          <w:kern w:val="0"/>
          <w:sz w:val="32"/>
          <w:szCs w:val="32"/>
          <w:lang w:val="en-US" w:eastAsia="zh-CN" w:bidi="ar-SA"/>
          <w14:textFill>
            <w14:solidFill>
              <w14:schemeClr w14:val="tx1"/>
            </w14:solidFill>
          </w14:textFill>
        </w:rPr>
      </w:pPr>
      <w:r>
        <w:rPr>
          <w:rFonts w:hint="eastAsia" w:ascii="黑体" w:hAnsi="黑体" w:eastAsia="黑体" w:cs="黑体"/>
          <w:b w:val="0"/>
          <w:bCs/>
          <w:color w:val="000000" w:themeColor="text1"/>
          <w:kern w:val="0"/>
          <w:sz w:val="32"/>
          <w:szCs w:val="32"/>
          <w:lang w:val="en-US" w:eastAsia="zh-CN" w:bidi="ar-SA"/>
          <w14:textFill>
            <w14:solidFill>
              <w14:schemeClr w14:val="tx1"/>
            </w14:solidFill>
          </w14:textFill>
        </w:rPr>
        <w:t>八、国有资本经营预算财政拨款支出决算情况</w:t>
      </w:r>
    </w:p>
    <w:p w14:paraId="7E70BAE6">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2024年度国有资本经营预算财政拨款收入0万元；年初结转和结余0万；支出0万元；年末结转和结余0万元。</w:t>
      </w:r>
    </w:p>
    <w:p w14:paraId="45263D7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000000" w:themeColor="text1"/>
          <w:sz w:val="32"/>
          <w:szCs w:val="32"/>
          <w14:textFill>
            <w14:solidFill>
              <w14:schemeClr w14:val="tx1"/>
            </w14:solidFill>
          </w14:textFill>
        </w:rPr>
      </w:pPr>
      <w:r>
        <w:rPr>
          <w:rFonts w:hint="eastAsia" w:hAnsi="黑体" w:cs="黑体"/>
          <w:b w:val="0"/>
          <w:bCs/>
          <w:color w:val="000000" w:themeColor="text1"/>
          <w:sz w:val="32"/>
          <w:szCs w:val="32"/>
          <w:lang w:eastAsia="zh-CN"/>
          <w14:textFill>
            <w14:solidFill>
              <w14:schemeClr w14:val="tx1"/>
            </w14:solidFill>
          </w14:textFill>
        </w:rPr>
        <w:t>九、</w:t>
      </w:r>
      <w:r>
        <w:rPr>
          <w:rFonts w:hint="eastAsia" w:ascii="黑体" w:hAnsi="黑体" w:eastAsia="黑体" w:cs="黑体"/>
          <w:b w:val="0"/>
          <w:bCs/>
          <w:color w:val="000000" w:themeColor="text1"/>
          <w:sz w:val="32"/>
          <w:szCs w:val="32"/>
          <w14:textFill>
            <w14:solidFill>
              <w14:schemeClr w14:val="tx1"/>
            </w14:solidFill>
          </w14:textFill>
        </w:rPr>
        <w:t>财政拨款三公经费支出决算情况说明</w:t>
      </w:r>
    </w:p>
    <w:p w14:paraId="1AE4457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color w:val="auto"/>
          <w:sz w:val="32"/>
          <w:szCs w:val="32"/>
        </w:rPr>
      </w:pPr>
      <w:r>
        <w:rPr>
          <w:rFonts w:hint="eastAsia" w:ascii="楷体" w:hAnsi="楷体" w:eastAsia="楷体" w:cs="楷体"/>
          <w:b/>
          <w:bCs w:val="0"/>
          <w:color w:val="auto"/>
          <w:sz w:val="32"/>
          <w:szCs w:val="32"/>
        </w:rPr>
        <w:t>（一）“三公”经费财政拨款支出决算总体情况说明</w:t>
      </w:r>
    </w:p>
    <w:p w14:paraId="21DF3DD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5.46</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5.46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0.66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13.75</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公务用车运行维护支出增加。</w:t>
      </w:r>
    </w:p>
    <w:p w14:paraId="6862387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color w:val="FF0000"/>
          <w:sz w:val="32"/>
          <w:szCs w:val="32"/>
        </w:rPr>
      </w:pPr>
      <w:r>
        <w:rPr>
          <w:rFonts w:hint="eastAsia" w:ascii="楷体" w:hAnsi="楷体" w:eastAsia="楷体" w:cs="楷体"/>
          <w:b/>
          <w:bCs w:val="0"/>
          <w:color w:val="auto"/>
          <w:sz w:val="32"/>
          <w:szCs w:val="32"/>
        </w:rPr>
        <w:t>（二）“三公”经费财政拨款支出决算具体情况说明</w:t>
      </w:r>
    </w:p>
    <w:p w14:paraId="35446656">
      <w:pPr>
        <w:pStyle w:val="13"/>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1.因公出国（境）费支出预算为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eastAsia="zh-CN"/>
        </w:rPr>
        <w:t>万元，支出决算为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eastAsia="zh-CN"/>
        </w:rPr>
        <w:t>万元，决算数等于预算数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hint="eastAsia" w:ascii="Times New Roman" w:hAnsi="Times New Roman" w:eastAsia="仿宋_GB2312" w:cs="Times New Roman"/>
          <w:sz w:val="32"/>
          <w:szCs w:val="32"/>
          <w:lang w:eastAsia="zh-CN"/>
        </w:rPr>
        <w:t>2024年度安排因公出国（境）团组</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eastAsia="zh-CN"/>
        </w:rPr>
        <w:t>个，累计</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eastAsia="zh-CN"/>
        </w:rPr>
        <w:t>人次。</w:t>
      </w:r>
    </w:p>
    <w:p w14:paraId="65978CAB">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4.25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4.25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1.57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58.58</w:t>
      </w:r>
      <w:r>
        <w:rPr>
          <w:rFonts w:ascii="Times New Roman" w:hAnsi="Times New Roman" w:eastAsia="仿宋_GB2312" w:cs="Times New Roman"/>
          <w:sz w:val="32"/>
          <w:szCs w:val="32"/>
        </w:rPr>
        <w:t>%。其中：</w:t>
      </w:r>
    </w:p>
    <w:p w14:paraId="07AF86AC">
      <w:pPr>
        <w:pStyle w:val="13"/>
        <w:overflowPunct w:val="0"/>
        <w:autoSpaceDE/>
        <w:autoSpaceDN/>
        <w:spacing w:line="600" w:lineRule="exact"/>
        <w:ind w:firstLine="640" w:firstLineChars="200"/>
        <w:jc w:val="both"/>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公务用车购置费支出预算为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万元，支出决算为</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万元，</w:t>
      </w:r>
      <w:r>
        <w:rPr>
          <w:rFonts w:hint="eastAsia" w:ascii="Times New Roman" w:hAnsi="Times New Roman" w:eastAsia="仿宋_GB2312" w:cs="Times New Roman"/>
          <w:color w:val="auto"/>
          <w:sz w:val="32"/>
          <w:szCs w:val="32"/>
          <w:lang w:val="en-US" w:eastAsia="zh-CN"/>
        </w:rPr>
        <w:t>决算数等于预算数，主要原因是我单位严格按预算执行决算</w:t>
      </w:r>
      <w:r>
        <w:rPr>
          <w:rFonts w:ascii="Times New Roman" w:hAnsi="Times New Roman" w:eastAsia="仿宋_GB2312" w:cs="Times New Roman"/>
          <w:color w:val="auto"/>
          <w:sz w:val="32"/>
          <w:szCs w:val="32"/>
        </w:rPr>
        <w:t>；</w:t>
      </w:r>
      <w:r>
        <w:rPr>
          <w:rFonts w:hint="eastAsia" w:ascii="Times New Roman" w:hAnsi="Times New Roman" w:eastAsia="仿宋_GB2312" w:cs="Times New Roman"/>
          <w:color w:val="auto"/>
          <w:sz w:val="32"/>
          <w:szCs w:val="32"/>
          <w:lang w:val="en-US" w:eastAsia="zh-CN"/>
        </w:rPr>
        <w:t>与上年一致，无增减变动，主要原因是两年均未购置公务用车。本单位</w:t>
      </w:r>
      <w:r>
        <w:rPr>
          <w:rFonts w:ascii="Times New Roman" w:hAnsi="Times New Roman" w:eastAsia="仿宋_GB2312" w:cs="Times New Roman"/>
          <w:color w:val="auto"/>
          <w:sz w:val="32"/>
          <w:szCs w:val="32"/>
        </w:rPr>
        <w:t>更新公务用车</w:t>
      </w:r>
      <w:r>
        <w:rPr>
          <w:rFonts w:hint="eastAsia" w:ascii="Times New Roman" w:hAnsi="Times New Roman" w:eastAsia="仿宋_GB2312" w:cs="Times New Roman"/>
          <w:color w:val="auto"/>
          <w:sz w:val="32"/>
          <w:szCs w:val="32"/>
          <w:lang w:val="en-US" w:eastAsia="zh-CN"/>
        </w:rPr>
        <w:t>0</w:t>
      </w:r>
      <w:r>
        <w:rPr>
          <w:rFonts w:ascii="Times New Roman" w:hAnsi="Times New Roman" w:eastAsia="仿宋_GB2312" w:cs="Times New Roman"/>
          <w:color w:val="auto"/>
          <w:sz w:val="32"/>
          <w:szCs w:val="32"/>
        </w:rPr>
        <w:t>辆</w:t>
      </w:r>
      <w:r>
        <w:rPr>
          <w:rFonts w:hint="eastAsia" w:ascii="Times New Roman" w:hAnsi="Times New Roman" w:eastAsia="仿宋_GB2312" w:cs="Times New Roman"/>
          <w:color w:val="auto"/>
          <w:sz w:val="32"/>
          <w:szCs w:val="32"/>
          <w:lang w:eastAsia="zh-CN"/>
        </w:rPr>
        <w:t>。</w:t>
      </w:r>
    </w:p>
    <w:p w14:paraId="1D422951">
      <w:pPr>
        <w:pStyle w:val="13"/>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4.25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4.25</w:t>
      </w:r>
      <w:r>
        <w:rPr>
          <w:rFonts w:ascii="Times New Roman" w:hAnsi="Times New Roman" w:eastAsia="仿宋_GB2312" w:cs="Times New Roman"/>
          <w:sz w:val="32"/>
          <w:szCs w:val="32"/>
        </w:rPr>
        <w:t>万元，</w:t>
      </w:r>
    </w:p>
    <w:p w14:paraId="64983D68">
      <w:pPr>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val="en-US" w:eastAsia="zh-CN"/>
        </w:rPr>
        <w:t>公务用车燃油费、高速通行费</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1.57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58.58</w:t>
      </w:r>
      <w:r>
        <w:rPr>
          <w:rFonts w:ascii="Times New Roman" w:hAnsi="Times New Roman" w:eastAsia="仿宋_GB2312" w:cs="Times New Roman"/>
          <w:sz w:val="32"/>
          <w:szCs w:val="32"/>
        </w:rPr>
        <w:t>%。</w:t>
      </w:r>
      <w:r>
        <w:rPr>
          <w:rFonts w:hint="eastAsia" w:ascii="Times New Roman" w:hAnsi="Times New Roman" w:eastAsia="仿宋_GB2312" w:cs="Times New Roman"/>
          <w:color w:val="auto"/>
          <w:sz w:val="32"/>
          <w:szCs w:val="32"/>
          <w:lang w:val="en-US" w:eastAsia="zh-CN"/>
        </w:rPr>
        <w:t>决算数等于预算数，主要原因是我单位严格按预算执行决算</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rPr>
        <w:t>2024年按照相关规定发放采样专车司机安全节油奖金，属于2024年</w:t>
      </w:r>
      <w:r>
        <w:rPr>
          <w:rFonts w:hint="eastAsia" w:ascii="Times New Roman" w:hAnsi="Times New Roman" w:eastAsia="仿宋_GB2312" w:cs="Times New Roman"/>
          <w:sz w:val="32"/>
          <w:szCs w:val="32"/>
          <w:lang w:val="en-US" w:eastAsia="zh-CN"/>
        </w:rPr>
        <w:t>度</w:t>
      </w:r>
      <w:r>
        <w:rPr>
          <w:rFonts w:hint="eastAsia" w:ascii="Times New Roman" w:hAnsi="Times New Roman" w:eastAsia="仿宋_GB2312" w:cs="Times New Roman"/>
          <w:sz w:val="32"/>
          <w:szCs w:val="32"/>
        </w:rPr>
        <w:t>新增费用</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14:paraId="490947C2">
      <w:pPr>
        <w:pStyle w:val="2"/>
        <w:keepNext/>
        <w:keepLines/>
        <w:pageBreakBefore w:val="0"/>
        <w:widowControl w:val="0"/>
        <w:kinsoku/>
        <w:wordWrap/>
        <w:overflowPunct/>
        <w:topLinePunct w:val="0"/>
        <w:autoSpaceDE/>
        <w:autoSpaceDN/>
        <w:bidi w:val="0"/>
        <w:adjustRightInd/>
        <w:snapToGrid/>
        <w:ind w:firstLine="640" w:firstLineChars="200"/>
        <w:jc w:val="both"/>
        <w:textAlignment w:val="auto"/>
        <w:rPr>
          <w:rFonts w:hint="default" w:eastAsia="仿宋_GB2312"/>
          <w:lang w:val="en-US" w:eastAsia="zh-CN"/>
        </w:rPr>
      </w:pPr>
      <w:r>
        <w:rPr>
          <w:rFonts w:hint="eastAsia" w:ascii="Times New Roman" w:hAnsi="Times New Roman" w:eastAsia="仿宋_GB2312" w:cs="Times New Roman"/>
          <w:bCs w:val="0"/>
          <w:color w:val="000000"/>
          <w:kern w:val="0"/>
          <w:sz w:val="32"/>
          <w:szCs w:val="32"/>
          <w:lang w:val="en-US" w:eastAsia="zh-CN" w:bidi="ar-SA"/>
        </w:rPr>
        <w:t>3.</w:t>
      </w:r>
      <w:r>
        <w:rPr>
          <w:rFonts w:ascii="Times New Roman" w:hAnsi="Times New Roman" w:eastAsia="仿宋_GB2312" w:cs="Times New Roman"/>
          <w:bCs w:val="0"/>
          <w:color w:val="000000"/>
          <w:kern w:val="0"/>
          <w:sz w:val="32"/>
          <w:szCs w:val="32"/>
          <w:lang w:val="en-US" w:eastAsia="zh-CN" w:bidi="ar-SA"/>
        </w:rPr>
        <w:t>公务接待费支出预算为</w:t>
      </w:r>
      <w:r>
        <w:rPr>
          <w:rFonts w:hint="eastAsia" w:ascii="Times New Roman" w:hAnsi="Times New Roman" w:eastAsia="仿宋_GB2312" w:cs="Times New Roman"/>
          <w:bCs w:val="0"/>
          <w:color w:val="000000"/>
          <w:kern w:val="0"/>
          <w:sz w:val="32"/>
          <w:szCs w:val="32"/>
          <w:lang w:val="en-US" w:eastAsia="zh-CN" w:bidi="ar-SA"/>
        </w:rPr>
        <w:t>1.21</w:t>
      </w:r>
      <w:r>
        <w:rPr>
          <w:rFonts w:ascii="Times New Roman" w:hAnsi="Times New Roman" w:eastAsia="仿宋_GB2312" w:cs="Times New Roman"/>
          <w:bCs w:val="0"/>
          <w:color w:val="000000"/>
          <w:kern w:val="0"/>
          <w:sz w:val="32"/>
          <w:szCs w:val="32"/>
          <w:lang w:val="en-US" w:eastAsia="zh-CN" w:bidi="ar-SA"/>
        </w:rPr>
        <w:t>万元，支出决算为</w:t>
      </w:r>
      <w:r>
        <w:rPr>
          <w:rFonts w:hint="eastAsia" w:ascii="Times New Roman" w:hAnsi="Times New Roman" w:eastAsia="仿宋_GB2312" w:cs="Times New Roman"/>
          <w:bCs w:val="0"/>
          <w:color w:val="000000"/>
          <w:kern w:val="0"/>
          <w:sz w:val="32"/>
          <w:szCs w:val="32"/>
          <w:lang w:val="en-US" w:eastAsia="zh-CN" w:bidi="ar-SA"/>
        </w:rPr>
        <w:t>1.21</w:t>
      </w:r>
      <w:r>
        <w:rPr>
          <w:rFonts w:ascii="Times New Roman" w:hAnsi="Times New Roman" w:eastAsia="仿宋_GB2312" w:cs="Times New Roman"/>
          <w:bCs w:val="0"/>
          <w:color w:val="000000"/>
          <w:kern w:val="0"/>
          <w:sz w:val="32"/>
          <w:szCs w:val="32"/>
          <w:lang w:val="en-US" w:eastAsia="zh-CN" w:bidi="ar-SA"/>
        </w:rPr>
        <w:t>万元，完成预算的</w:t>
      </w:r>
      <w:r>
        <w:rPr>
          <w:rFonts w:hint="eastAsia" w:ascii="Times New Roman" w:hAnsi="Times New Roman" w:eastAsia="仿宋_GB2312" w:cs="Times New Roman"/>
          <w:bCs w:val="0"/>
          <w:color w:val="000000"/>
          <w:kern w:val="0"/>
          <w:sz w:val="32"/>
          <w:szCs w:val="32"/>
          <w:lang w:val="en-US" w:eastAsia="zh-CN" w:bidi="ar-SA"/>
        </w:rPr>
        <w:t>100</w:t>
      </w:r>
      <w:r>
        <w:rPr>
          <w:rFonts w:ascii="Times New Roman" w:hAnsi="Times New Roman" w:eastAsia="仿宋_GB2312" w:cs="Times New Roman"/>
          <w:bCs w:val="0"/>
          <w:color w:val="000000"/>
          <w:kern w:val="0"/>
          <w:sz w:val="32"/>
          <w:szCs w:val="32"/>
          <w:lang w:val="en-US" w:eastAsia="zh-CN" w:bidi="ar-SA"/>
        </w:rPr>
        <w:t>%；与上年相比</w:t>
      </w:r>
      <w:r>
        <w:rPr>
          <w:rFonts w:hint="eastAsia" w:ascii="Times New Roman" w:hAnsi="Times New Roman" w:eastAsia="仿宋_GB2312" w:cs="Times New Roman"/>
          <w:bCs w:val="0"/>
          <w:color w:val="000000"/>
          <w:kern w:val="0"/>
          <w:sz w:val="32"/>
          <w:szCs w:val="32"/>
          <w:lang w:val="en-US" w:eastAsia="zh-CN" w:bidi="ar-SA"/>
        </w:rPr>
        <w:t>减少0.91</w:t>
      </w:r>
      <w:r>
        <w:rPr>
          <w:rFonts w:ascii="Times New Roman" w:hAnsi="Times New Roman" w:eastAsia="仿宋_GB2312" w:cs="Times New Roman"/>
          <w:bCs w:val="0"/>
          <w:color w:val="000000"/>
          <w:kern w:val="0"/>
          <w:sz w:val="32"/>
          <w:szCs w:val="32"/>
          <w:lang w:val="en-US" w:eastAsia="zh-CN" w:bidi="ar-SA"/>
        </w:rPr>
        <w:t>万元，降低</w:t>
      </w:r>
      <w:r>
        <w:rPr>
          <w:rFonts w:hint="eastAsia" w:ascii="Times New Roman" w:hAnsi="Times New Roman" w:eastAsia="仿宋_GB2312" w:cs="Times New Roman"/>
          <w:bCs w:val="0"/>
          <w:color w:val="000000"/>
          <w:kern w:val="0"/>
          <w:sz w:val="32"/>
          <w:szCs w:val="32"/>
          <w:lang w:val="en-US" w:eastAsia="zh-CN" w:bidi="ar-SA"/>
        </w:rPr>
        <w:t>42.92</w:t>
      </w:r>
      <w:r>
        <w:rPr>
          <w:rFonts w:ascii="Times New Roman" w:hAnsi="Times New Roman" w:eastAsia="仿宋_GB2312" w:cs="Times New Roman"/>
          <w:bCs w:val="0"/>
          <w:color w:val="000000"/>
          <w:kern w:val="0"/>
          <w:sz w:val="32"/>
          <w:szCs w:val="32"/>
          <w:lang w:val="en-US" w:eastAsia="zh-CN" w:bidi="ar-SA"/>
        </w:rPr>
        <w:t>%。</w:t>
      </w:r>
      <w:r>
        <w:rPr>
          <w:rFonts w:hint="eastAsia" w:ascii="Times New Roman" w:hAnsi="Times New Roman" w:eastAsia="仿宋_GB2312" w:cs="Times New Roman"/>
          <w:color w:val="auto"/>
          <w:sz w:val="32"/>
          <w:szCs w:val="32"/>
          <w:lang w:val="en-US" w:eastAsia="zh-CN"/>
        </w:rPr>
        <w:t>决算数等于预算数，主要原因是严格执行中央八项规定</w:t>
      </w:r>
      <w:r>
        <w:rPr>
          <w:rFonts w:ascii="Times New Roman" w:hAnsi="Times New Roman" w:eastAsia="仿宋_GB2312" w:cs="Times New Roman"/>
          <w:bCs w:val="0"/>
          <w:color w:val="auto"/>
          <w:kern w:val="0"/>
          <w:sz w:val="32"/>
          <w:szCs w:val="32"/>
          <w:lang w:val="en-US" w:eastAsia="zh-CN" w:bidi="ar-SA"/>
        </w:rPr>
        <w:t>。决算数小于上年数的主要原因是</w:t>
      </w:r>
      <w:r>
        <w:rPr>
          <w:rFonts w:hint="eastAsia" w:ascii="Times New Roman" w:hAnsi="Times New Roman" w:eastAsia="仿宋_GB2312" w:cs="Times New Roman"/>
          <w:color w:val="auto"/>
          <w:sz w:val="32"/>
          <w:szCs w:val="32"/>
          <w:lang w:val="en-US" w:eastAsia="zh-CN"/>
        </w:rPr>
        <w:t>按有关政策厉行节约，严控公务接待支出</w:t>
      </w:r>
      <w:r>
        <w:rPr>
          <w:rFonts w:ascii="Times New Roman" w:hAnsi="Times New Roman" w:eastAsia="仿宋_GB2312" w:cs="Times New Roman"/>
          <w:bCs w:val="0"/>
          <w:color w:val="auto"/>
          <w:kern w:val="0"/>
          <w:sz w:val="32"/>
          <w:szCs w:val="32"/>
          <w:lang w:val="en-US" w:eastAsia="zh-CN" w:bidi="ar-SA"/>
        </w:rPr>
        <w:t>。</w:t>
      </w:r>
      <w:r>
        <w:rPr>
          <w:rFonts w:ascii="Times New Roman" w:hAnsi="Times New Roman" w:eastAsia="仿宋_GB2312" w:cs="Times New Roman"/>
          <w:bCs w:val="0"/>
          <w:color w:val="000000"/>
          <w:kern w:val="0"/>
          <w:sz w:val="32"/>
          <w:szCs w:val="32"/>
          <w:lang w:val="en-US" w:eastAsia="zh-CN" w:bidi="ar-SA"/>
        </w:rPr>
        <w:t>2024年度共接待来访团组</w:t>
      </w:r>
      <w:r>
        <w:rPr>
          <w:rFonts w:hint="eastAsia" w:ascii="Times New Roman" w:hAnsi="Times New Roman" w:eastAsia="仿宋_GB2312" w:cs="Times New Roman"/>
          <w:bCs w:val="0"/>
          <w:color w:val="000000"/>
          <w:kern w:val="0"/>
          <w:sz w:val="32"/>
          <w:szCs w:val="32"/>
          <w:lang w:val="en-US" w:eastAsia="zh-CN" w:bidi="ar-SA"/>
        </w:rPr>
        <w:t>25</w:t>
      </w:r>
      <w:r>
        <w:rPr>
          <w:rFonts w:ascii="Times New Roman" w:hAnsi="Times New Roman" w:eastAsia="仿宋_GB2312" w:cs="Times New Roman"/>
          <w:bCs w:val="0"/>
          <w:color w:val="000000"/>
          <w:kern w:val="0"/>
          <w:sz w:val="32"/>
          <w:szCs w:val="32"/>
          <w:lang w:val="en-US" w:eastAsia="zh-CN" w:bidi="ar-SA"/>
        </w:rPr>
        <w:t>个、来宾</w:t>
      </w:r>
      <w:r>
        <w:rPr>
          <w:rFonts w:hint="eastAsia" w:ascii="Times New Roman" w:hAnsi="Times New Roman" w:eastAsia="仿宋_GB2312" w:cs="Times New Roman"/>
          <w:bCs w:val="0"/>
          <w:color w:val="000000"/>
          <w:kern w:val="0"/>
          <w:sz w:val="32"/>
          <w:szCs w:val="32"/>
          <w:lang w:val="en-US" w:eastAsia="zh-CN" w:bidi="ar-SA"/>
        </w:rPr>
        <w:t>106</w:t>
      </w:r>
      <w:r>
        <w:rPr>
          <w:rFonts w:ascii="Times New Roman" w:hAnsi="Times New Roman" w:eastAsia="仿宋_GB2312" w:cs="Times New Roman"/>
          <w:bCs w:val="0"/>
          <w:color w:val="000000"/>
          <w:kern w:val="0"/>
          <w:sz w:val="32"/>
          <w:szCs w:val="32"/>
          <w:lang w:val="en-US" w:eastAsia="zh-CN" w:bidi="ar-SA"/>
        </w:rPr>
        <w:t>人次，主要是</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动物疫病预防控制迎检</w:t>
      </w:r>
      <w:r>
        <w:rPr>
          <w:rFonts w:ascii="Times New Roman" w:hAnsi="Times New Roman" w:eastAsia="仿宋_GB2312" w:cs="Times New Roman"/>
          <w:bCs w:val="0"/>
          <w:color w:val="000000"/>
          <w:kern w:val="0"/>
          <w:sz w:val="32"/>
          <w:szCs w:val="32"/>
          <w:lang w:val="en-US" w:eastAsia="zh-CN" w:bidi="ar-SA"/>
        </w:rPr>
        <w:t>发生的接待支出</w:t>
      </w:r>
      <w:r>
        <w:rPr>
          <w:rFonts w:hint="eastAsia" w:ascii="Times New Roman" w:hAnsi="Times New Roman" w:eastAsia="仿宋_GB2312" w:cs="Times New Roman"/>
          <w:bCs w:val="0"/>
          <w:color w:val="000000"/>
          <w:kern w:val="0"/>
          <w:sz w:val="32"/>
          <w:szCs w:val="32"/>
          <w:lang w:val="en-US" w:eastAsia="zh-CN" w:bidi="ar-SA"/>
        </w:rPr>
        <w:t>。</w:t>
      </w:r>
    </w:p>
    <w:p w14:paraId="3D06ACE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284262D0">
      <w:pPr>
        <w:pStyle w:val="2"/>
        <w:keepNext/>
        <w:keepLines/>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本级和所属单位均为事业单位，按照机关运行经费的口径，本年度机关运行经费为0。</w:t>
      </w:r>
    </w:p>
    <w:p w14:paraId="34A449C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十</w:t>
      </w:r>
      <w:r>
        <w:rPr>
          <w:rFonts w:hint="eastAsia" w:hAnsi="黑体" w:cs="黑体"/>
          <w:b w:val="0"/>
          <w:bCs/>
          <w:color w:val="000000" w:themeColor="text1"/>
          <w:sz w:val="32"/>
          <w:szCs w:val="32"/>
          <w:lang w:eastAsia="zh-CN"/>
          <w14:textFill>
            <w14:solidFill>
              <w14:schemeClr w14:val="tx1"/>
            </w14:solidFill>
          </w14:textFill>
        </w:rPr>
        <w:t>一</w:t>
      </w:r>
      <w:r>
        <w:rPr>
          <w:rFonts w:hint="eastAsia" w:ascii="黑体" w:hAnsi="黑体" w:eastAsia="黑体" w:cs="黑体"/>
          <w:b w:val="0"/>
          <w:bCs/>
          <w:color w:val="000000" w:themeColor="text1"/>
          <w:sz w:val="32"/>
          <w:szCs w:val="32"/>
          <w14:textFill>
            <w14:solidFill>
              <w14:schemeClr w14:val="tx1"/>
            </w14:solidFill>
          </w14:textFill>
        </w:rPr>
        <w:t>、一般性支出情况说明</w:t>
      </w:r>
    </w:p>
    <w:p w14:paraId="1DFAAC76">
      <w:pPr>
        <w:pStyle w:val="13"/>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年度，会</w:t>
      </w:r>
      <w:r>
        <w:rPr>
          <w:rFonts w:hint="eastAsia" w:ascii="仿宋_GB2312" w:hAnsi="仿宋_GB2312" w:eastAsia="仿宋_GB2312" w:cs="Times New Roman"/>
          <w:color w:val="000000" w:themeColor="text1"/>
          <w:kern w:val="2"/>
          <w:sz w:val="32"/>
          <w:szCs w:val="20"/>
          <w:lang w:val="en-US" w:eastAsia="zh-CN" w:bidi="ar-SA"/>
          <w14:textFill>
            <w14:solidFill>
              <w14:schemeClr w14:val="tx1"/>
            </w14:solidFill>
          </w14:textFill>
        </w:rPr>
        <w:t>议费年初预算0万元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，支出决算为0万元，</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决算数等于年初预算数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主要原因是本单位无会议费的预算和支出决算数。</w:t>
      </w:r>
    </w:p>
    <w:p w14:paraId="02E0A1B1">
      <w:pPr>
        <w:widowControl w:val="0"/>
        <w:autoSpaceDE w:val="0"/>
        <w:autoSpaceDN w:val="0"/>
        <w:adjustRightInd w:val="0"/>
        <w:ind w:firstLine="640" w:firstLineChars="200"/>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Times New Roman"/>
          <w:color w:val="000000" w:themeColor="text1"/>
          <w:kern w:val="2"/>
          <w:sz w:val="32"/>
          <w:szCs w:val="20"/>
          <w:lang w:val="en-US" w:eastAsia="zh-CN" w:bidi="ar-SA"/>
          <w14:textFill>
            <w14:solidFill>
              <w14:schemeClr w14:val="tx1"/>
            </w14:solidFill>
          </w14:textFill>
        </w:rPr>
        <w:t>培训费年初预算7.45万元（其中：一般公共预算基本支出培训费预算0万元、项目支出培训费预算7.45万元）</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，支出决算为7.45万元，完成年初预算的100%。用于开展动物疫病预防控制培训，人数约180余人，内容为动物疫病监测流调及动物疫病净化场创建培训和血防化验员技能大练兵比赛培训。</w:t>
      </w:r>
    </w:p>
    <w:p w14:paraId="2F3F4775">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举办节庆、晚会、论坛、赛事活动年初预算0万元，支出决算为0万元，决算数等于年初预算数，主要原因是本单位无举办节庆、晚会、论坛、赛事等活动的预算和支出决算数。</w:t>
      </w:r>
    </w:p>
    <w:p w14:paraId="71F08D7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十</w:t>
      </w:r>
      <w:r>
        <w:rPr>
          <w:rFonts w:hint="eastAsia" w:hAnsi="黑体" w:cs="黑体"/>
          <w:b w:val="0"/>
          <w:bCs/>
          <w:color w:val="000000" w:themeColor="text1"/>
          <w:sz w:val="32"/>
          <w:szCs w:val="32"/>
          <w:lang w:eastAsia="zh-CN"/>
          <w14:textFill>
            <w14:solidFill>
              <w14:schemeClr w14:val="tx1"/>
            </w14:solidFill>
          </w14:textFill>
        </w:rPr>
        <w:t>二</w:t>
      </w:r>
      <w:r>
        <w:rPr>
          <w:rFonts w:hint="eastAsia" w:ascii="黑体" w:hAnsi="黑体" w:eastAsia="黑体" w:cs="黑体"/>
          <w:b w:val="0"/>
          <w:bCs/>
          <w:color w:val="000000" w:themeColor="text1"/>
          <w:sz w:val="32"/>
          <w:szCs w:val="32"/>
          <w14:textFill>
            <w14:solidFill>
              <w14:schemeClr w14:val="tx1"/>
            </w14:solidFill>
          </w14:textFill>
        </w:rPr>
        <w:t>、关于政府采购支出说明</w:t>
      </w:r>
    </w:p>
    <w:p w14:paraId="52FB9DC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本部门202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年度政府采购支出总额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92.82</w:t>
      </w:r>
      <w:r>
        <w:rPr>
          <w:rFonts w:hint="eastAsia" w:ascii="仿宋_GB2312" w:hAnsi="仿宋_GB2312" w:eastAsia="仿宋_GB2312" w:cs="仿宋_GB2312"/>
          <w:color w:val="000000" w:themeColor="text1"/>
          <w:sz w:val="32"/>
          <w:szCs w:val="32"/>
          <w14:textFill>
            <w14:solidFill>
              <w14:schemeClr w14:val="tx1"/>
            </w14:solidFill>
          </w14:textFill>
        </w:rPr>
        <w:t>万元，其中：政府采购货物支出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78.78</w:t>
      </w:r>
      <w:r>
        <w:rPr>
          <w:rFonts w:hint="eastAsia" w:ascii="仿宋_GB2312" w:hAnsi="仿宋_GB2312" w:eastAsia="仿宋_GB2312" w:cs="仿宋_GB2312"/>
          <w:color w:val="000000" w:themeColor="text1"/>
          <w:sz w:val="32"/>
          <w:szCs w:val="32"/>
          <w14:textFill>
            <w14:solidFill>
              <w14:schemeClr w14:val="tx1"/>
            </w14:solidFill>
          </w14:textFill>
        </w:rPr>
        <w:t>万元、政府采购工程支出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万元、政府采购服务支出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14.04</w:t>
      </w:r>
      <w:r>
        <w:rPr>
          <w:rFonts w:hint="eastAsia" w:ascii="仿宋_GB2312" w:hAnsi="仿宋_GB2312" w:eastAsia="仿宋_GB2312" w:cs="仿宋_GB2312"/>
          <w:color w:val="000000" w:themeColor="text1"/>
          <w:sz w:val="32"/>
          <w:szCs w:val="32"/>
          <w14:textFill>
            <w14:solidFill>
              <w14:schemeClr w14:val="tx1"/>
            </w14:solidFill>
          </w14:textFill>
        </w:rPr>
        <w:t>万元。授予中小企业合同金额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92.82</w:t>
      </w:r>
      <w:r>
        <w:rPr>
          <w:rFonts w:hint="eastAsia" w:ascii="仿宋_GB2312" w:hAnsi="仿宋_GB2312" w:eastAsia="仿宋_GB2312" w:cs="仿宋_GB2312"/>
          <w:color w:val="000000" w:themeColor="text1"/>
          <w:sz w:val="32"/>
          <w:szCs w:val="32"/>
          <w14:textFill>
            <w14:solidFill>
              <w14:schemeClr w14:val="tx1"/>
            </w14:solidFill>
          </w14:textFill>
        </w:rPr>
        <w:t>万元，占政府采购支出总额的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%，其中：授予小微企业合同金额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92.82</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eastAsia="zh-CN"/>
          <w14:textFill>
            <w14:solidFill>
              <w14:schemeClr w14:val="tx1"/>
            </w14:solidFill>
          </w14:textFill>
        </w:rPr>
        <w:t>授予中小企业合同金额</w:t>
      </w:r>
      <w:r>
        <w:rPr>
          <w:rFonts w:hint="eastAsia" w:ascii="仿宋_GB2312" w:hAnsi="仿宋_GB2312" w:eastAsia="仿宋_GB2312" w:cs="仿宋_GB2312"/>
          <w:color w:val="000000" w:themeColor="text1"/>
          <w:sz w:val="32"/>
          <w:szCs w:val="32"/>
          <w14:textFill>
            <w14:solidFill>
              <w14:schemeClr w14:val="tx1"/>
            </w14:solidFill>
          </w14:textFill>
        </w:rPr>
        <w:t>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%。货物采购授予中小</w:t>
      </w:r>
      <w:r>
        <w:rPr>
          <w:rFonts w:hint="eastAsia" w:ascii="Times New Roman" w:hAnsi="Times New Roman" w:eastAsia="仿宋_GB2312"/>
          <w:color w:val="000000" w:themeColor="text1"/>
          <w:sz w:val="32"/>
          <w:szCs w:val="32"/>
          <w14:textFill>
            <w14:solidFill>
              <w14:schemeClr w14:val="tx1"/>
            </w14:solidFill>
          </w14:textFill>
        </w:rPr>
        <w:t>企业合同金</w:t>
      </w:r>
      <w:r>
        <w:rPr>
          <w:rFonts w:hint="eastAsia" w:ascii="仿宋_GB2312" w:hAnsi="仿宋_GB2312" w:eastAsia="仿宋_GB2312" w:cs="仿宋_GB2312"/>
          <w:color w:val="000000" w:themeColor="text1"/>
          <w:sz w:val="32"/>
          <w:szCs w:val="32"/>
          <w14:textFill>
            <w14:solidFill>
              <w14:schemeClr w14:val="tx1"/>
            </w14:solidFill>
          </w14:textFill>
        </w:rPr>
        <w:t>额占货物支出金额的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%，工程采购授予中小企业合同金额占工程支出金额的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由于服务采购授予中小企业合同金额和服务支出金额均为0万元，故无法计算百分比。</w:t>
      </w:r>
    </w:p>
    <w:p w14:paraId="32F0BB65">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十</w:t>
      </w:r>
      <w:r>
        <w:rPr>
          <w:rFonts w:hint="eastAsia" w:hAnsi="黑体" w:cs="黑体"/>
          <w:b w:val="0"/>
          <w:bCs/>
          <w:color w:val="000000" w:themeColor="text1"/>
          <w:sz w:val="32"/>
          <w:szCs w:val="32"/>
          <w:lang w:eastAsia="zh-CN"/>
          <w14:textFill>
            <w14:solidFill>
              <w14:schemeClr w14:val="tx1"/>
            </w14:solidFill>
          </w14:textFill>
        </w:rPr>
        <w:t>三</w:t>
      </w:r>
      <w:r>
        <w:rPr>
          <w:rFonts w:hint="eastAsia" w:ascii="黑体" w:hAnsi="黑体" w:eastAsia="黑体" w:cs="黑体"/>
          <w:b w:val="0"/>
          <w:bCs/>
          <w:color w:val="000000" w:themeColor="text1"/>
          <w:sz w:val="32"/>
          <w:szCs w:val="32"/>
          <w14:textFill>
            <w14:solidFill>
              <w14:schemeClr w14:val="tx1"/>
            </w14:solidFill>
          </w14:textFill>
        </w:rPr>
        <w:t>、关于国有资产占用情况说明</w:t>
      </w:r>
    </w:p>
    <w:p w14:paraId="6EDD755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截至202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14:textFill>
            <w14:solidFill>
              <w14:schemeClr w14:val="tx1"/>
            </w14:solidFill>
          </w14:textFill>
        </w:rPr>
        <w:t>年12月31日，</w:t>
      </w:r>
      <w:r>
        <w:rPr>
          <w:rFonts w:hint="eastAsia" w:ascii="仿宋_GB2312" w:hAnsi="仿宋_GB2312" w:eastAsia="仿宋_GB2312" w:cs="仿宋_GB2312"/>
          <w:color w:val="000000" w:themeColor="text1"/>
          <w:sz w:val="32"/>
          <w:szCs w:val="32"/>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14:textFill>
            <w14:solidFill>
              <w14:schemeClr w14:val="tx1"/>
            </w14:solidFill>
          </w14:textFill>
        </w:rPr>
        <w:t>共有车辆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辆，其中</w:t>
      </w:r>
      <w:r>
        <w:rPr>
          <w:rFonts w:hint="eastAsia" w:ascii="仿宋_GB2312" w:hAnsi="仿宋_GB2312" w:eastAsia="仿宋_GB2312" w:cs="仿宋_GB2312"/>
          <w:color w:val="000000" w:themeColor="text1"/>
          <w:sz w:val="32"/>
          <w:szCs w:val="32"/>
          <w:lang w:eastAsia="zh-CN"/>
          <w14:textFill>
            <w14:solidFill>
              <w14:schemeClr w14:val="tx1"/>
            </w14:solidFill>
          </w14:textFill>
        </w:rPr>
        <w:t>，副部（省）级及以上领导用车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主要</w:t>
      </w:r>
      <w:r>
        <w:rPr>
          <w:rFonts w:hint="eastAsia" w:ascii="仿宋_GB2312" w:hAnsi="仿宋_GB2312" w:eastAsia="仿宋_GB2312" w:cs="仿宋_GB2312"/>
          <w:color w:val="000000" w:themeColor="text1"/>
          <w:sz w:val="32"/>
          <w:szCs w:val="32"/>
          <w:lang w:eastAsia="zh-CN"/>
          <w14:textFill>
            <w14:solidFill>
              <w14:schemeClr w14:val="tx1"/>
            </w14:solidFill>
          </w14:textFill>
        </w:rPr>
        <w:t>负责人</w:t>
      </w:r>
      <w:r>
        <w:rPr>
          <w:rFonts w:hint="eastAsia" w:ascii="仿宋_GB2312" w:hAnsi="仿宋_GB2312" w:eastAsia="仿宋_GB2312" w:cs="仿宋_GB2312"/>
          <w:color w:val="000000" w:themeColor="text1"/>
          <w:sz w:val="32"/>
          <w:szCs w:val="32"/>
          <w14:textFill>
            <w14:solidFill>
              <w14:schemeClr w14:val="tx1"/>
            </w14:solidFill>
          </w14:textFill>
        </w:rPr>
        <w:t>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机要通信用车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辆、应急保障用车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辆、执法执勤用车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辆、特种专业技术用车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离退休干部服务用车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辆、其他用车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val="en-US"/>
          <w14:textFill>
            <w14:solidFill>
              <w14:schemeClr w14:val="tx1"/>
            </w14:solidFill>
          </w14:textFill>
        </w:rPr>
        <w:t>其他用车主要是用于机要通信和应急保障之外公务用途的车辆</w:t>
      </w:r>
      <w:r>
        <w:rPr>
          <w:rFonts w:hint="eastAsia" w:ascii="仿宋_GB2312" w:hAnsi="仿宋_GB2312" w:eastAsia="仿宋_GB2312" w:cs="仿宋_GB2312"/>
          <w:color w:val="000000" w:themeColor="text1"/>
          <w:sz w:val="32"/>
          <w:szCs w:val="32"/>
          <w14:textFill>
            <w14:solidFill>
              <w14:schemeClr w14:val="tx1"/>
            </w14:solidFill>
          </w14:textFill>
        </w:rPr>
        <w:t>；单位价值100万元以上设备</w:t>
      </w:r>
      <w:r>
        <w:rPr>
          <w:rFonts w:hint="eastAsia" w:ascii="仿宋_GB2312" w:hAnsi="仿宋_GB2312" w:eastAsia="仿宋_GB2312" w:cs="仿宋_GB2312"/>
          <w:color w:val="000000" w:themeColor="text1"/>
          <w:sz w:val="32"/>
          <w:szCs w:val="32"/>
          <w:lang w:eastAsia="zh-CN"/>
          <w14:textFill>
            <w14:solidFill>
              <w14:schemeClr w14:val="tx1"/>
            </w14:solidFill>
          </w14:textFill>
        </w:rPr>
        <w:t>（不含车辆）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台（套）。</w:t>
      </w:r>
    </w:p>
    <w:p w14:paraId="0DDBBB71">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十</w:t>
      </w:r>
      <w:r>
        <w:rPr>
          <w:rFonts w:hint="eastAsia" w:hAnsi="黑体" w:cs="黑体"/>
          <w:b w:val="0"/>
          <w:bCs/>
          <w:color w:val="000000" w:themeColor="text1"/>
          <w:sz w:val="32"/>
          <w:szCs w:val="32"/>
          <w:lang w:eastAsia="zh-CN"/>
          <w14:textFill>
            <w14:solidFill>
              <w14:schemeClr w14:val="tx1"/>
            </w14:solidFill>
          </w14:textFill>
        </w:rPr>
        <w:t>四</w:t>
      </w:r>
      <w:r>
        <w:rPr>
          <w:rFonts w:hint="eastAsia" w:ascii="黑体" w:hAnsi="黑体" w:eastAsia="黑体" w:cs="黑体"/>
          <w:b w:val="0"/>
          <w:bCs/>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4</w:t>
      </w:r>
      <w:r>
        <w:rPr>
          <w:rFonts w:hint="eastAsia" w:ascii="黑体" w:hAnsi="黑体" w:eastAsia="黑体" w:cs="黑体"/>
          <w:b w:val="0"/>
          <w:bCs/>
          <w:color w:val="000000" w:themeColor="text1"/>
          <w:sz w:val="32"/>
          <w:szCs w:val="32"/>
          <w14:textFill>
            <w14:solidFill>
              <w14:schemeClr w14:val="tx1"/>
            </w14:solidFill>
          </w14:textFill>
        </w:rPr>
        <w:t>年度</w:t>
      </w:r>
      <w:r>
        <w:rPr>
          <w:rFonts w:hint="eastAsia" w:hAnsi="黑体" w:cs="黑体"/>
          <w:b w:val="0"/>
          <w:bCs/>
          <w:color w:val="000000" w:themeColor="text1"/>
          <w:sz w:val="32"/>
          <w:szCs w:val="32"/>
          <w:lang w:eastAsia="zh-CN"/>
          <w14:textFill>
            <w14:solidFill>
              <w14:schemeClr w14:val="tx1"/>
            </w14:solidFill>
          </w14:textFill>
        </w:rPr>
        <w:t>预算</w:t>
      </w:r>
      <w:r>
        <w:rPr>
          <w:rFonts w:hint="eastAsia" w:ascii="黑体" w:hAnsi="黑体" w:eastAsia="黑体" w:cs="黑体"/>
          <w:b w:val="0"/>
          <w:bCs/>
          <w:color w:val="000000" w:themeColor="text1"/>
          <w:sz w:val="32"/>
          <w:szCs w:val="32"/>
          <w14:textFill>
            <w14:solidFill>
              <w14:schemeClr w14:val="tx1"/>
            </w14:solidFill>
          </w14:textFill>
        </w:rPr>
        <w:t>绩效情况的说明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3E04113">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452.49</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233.26</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51.55</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14:paraId="7C65853C">
      <w:pPr>
        <w:overflowPunct w:val="0"/>
        <w:spacing w:line="600" w:lineRule="exact"/>
        <w:ind w:firstLine="640" w:firstLineChars="200"/>
        <w:rPr>
          <w:rFonts w:hint="default"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color w:val="auto"/>
          <w:kern w:val="0"/>
          <w:sz w:val="32"/>
          <w:szCs w:val="32"/>
          <w:lang w:val="en-US" w:eastAsia="zh-CN"/>
        </w:rPr>
        <w:t>本单位为二级预算单位，部门评价开展情况可详见上级部门决算公开说明</w:t>
      </w:r>
      <w:r>
        <w:rPr>
          <w:rFonts w:ascii="Times New Roman" w:hAnsi="Times New Roman" w:eastAsia="仿宋_GB2312" w:cs="Times New Roman"/>
          <w:color w:val="auto"/>
          <w:kern w:val="0"/>
          <w:sz w:val="32"/>
          <w:szCs w:val="32"/>
          <w:highlight w:val="none"/>
        </w:rPr>
        <w:t>。</w:t>
      </w:r>
    </w:p>
    <w:p w14:paraId="2B23DD89">
      <w:pPr>
        <w:overflowPunct w:val="0"/>
        <w:spacing w:line="600" w:lineRule="exact"/>
        <w:ind w:firstLine="640" w:firstLineChars="200"/>
        <w:rPr>
          <w:rFonts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lang w:val="en-US" w:eastAsia="zh-CN"/>
        </w:rPr>
        <w:t>3.</w:t>
      </w:r>
      <w:r>
        <w:rPr>
          <w:rFonts w:ascii="Times New Roman" w:hAnsi="Times New Roman" w:eastAsia="仿宋_GB2312" w:cs="Times New Roman"/>
          <w:b/>
          <w:bCs/>
          <w:color w:val="auto"/>
          <w:kern w:val="0"/>
          <w:sz w:val="32"/>
          <w:szCs w:val="32"/>
        </w:rPr>
        <w:t>事前绩效评估开展情况。</w:t>
      </w:r>
      <w:r>
        <w:rPr>
          <w:rFonts w:hint="eastAsia" w:ascii="Times New Roman" w:hAnsi="Times New Roman" w:eastAsia="仿宋_GB2312" w:cs="Times New Roman"/>
          <w:color w:val="auto"/>
          <w:kern w:val="0"/>
          <w:sz w:val="32"/>
          <w:szCs w:val="32"/>
          <w:lang w:val="en-US" w:eastAsia="zh-CN"/>
        </w:rPr>
        <w:t>本单位为二级预算单位，事前绩效评估开展情况可详见上级部门决算公开说明</w:t>
      </w:r>
      <w:r>
        <w:rPr>
          <w:rFonts w:ascii="Times New Roman" w:hAnsi="Times New Roman" w:eastAsia="仿宋_GB2312" w:cs="Times New Roman"/>
          <w:color w:val="auto"/>
          <w:kern w:val="0"/>
          <w:sz w:val="32"/>
          <w:szCs w:val="32"/>
          <w:highlight w:val="none"/>
        </w:rPr>
        <w:t>。</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2A14103F">
      <w:pPr>
        <w:pStyle w:val="2"/>
        <w:keepNext/>
        <w:keepLines/>
        <w:pageBreakBefore w:val="0"/>
        <w:widowControl w:val="0"/>
        <w:kinsoku/>
        <w:wordWrap/>
        <w:overflowPunct/>
        <w:topLinePunct w:val="0"/>
        <w:autoSpaceDE/>
        <w:autoSpaceDN/>
        <w:bidi w:val="0"/>
        <w:adjustRightInd/>
        <w:snapToGrid/>
        <w:ind w:firstLine="640" w:firstLineChars="200"/>
        <w:jc w:val="left"/>
        <w:textAlignment w:val="auto"/>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pPr>
      <w:r>
        <w:rPr>
          <w:rFonts w:hint="eastAsia" w:ascii="Times New Roman" w:hAnsi="Times New Roman" w:eastAsia="仿宋_GB2312" w:cs="Times New Roman"/>
          <w:b/>
          <w:bCs/>
          <w:color w:val="auto"/>
          <w:kern w:val="0"/>
          <w:sz w:val="32"/>
          <w:szCs w:val="32"/>
          <w:lang w:val="en-US" w:eastAsia="zh-CN" w:bidi="ar-SA"/>
        </w:rPr>
        <w:t>1.绩效自评结果。</w:t>
      </w:r>
      <w:r>
        <w:rPr>
          <w:rFonts w:hint="eastAsia" w:ascii="Times New Roman" w:hAnsi="Times New Roman" w:eastAsia="仿宋_GB2312" w:cs="Times New Roman"/>
          <w:bCs w:val="0"/>
          <w:color w:val="auto"/>
          <w:kern w:val="0"/>
          <w:sz w:val="32"/>
          <w:szCs w:val="32"/>
          <w:lang w:val="en-US" w:eastAsia="zh-CN" w:bidi="ar-SA"/>
        </w:rPr>
        <w:t>2024年度本部门（单位）整体支出全年预算数533.30万元，执行数452.49万元，完成预算的84.84%，绩效自评得分8.48分，评价等级为“优”。绩效目标完成情况：</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一是</w:t>
      </w:r>
      <w:r>
        <w:rPr>
          <w:rFonts w:hint="default"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 xml:space="preserve">狠抓关键措施落实，提升动物疫病防控水平 </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；二是抓好人畜共患病防控，维护公共卫生安全；三是</w:t>
      </w:r>
      <w:r>
        <w:rPr>
          <w:rFonts w:hint="default"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强化防疫体系建设，提升防控能力</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w:t>
      </w:r>
      <w:r>
        <w:rPr>
          <w:rFonts w:hint="eastAsia" w:ascii="Times New Roman" w:hAnsi="Times New Roman" w:eastAsia="仿宋_GB2312" w:cs="Times New Roman"/>
          <w:bCs w:val="0"/>
          <w:color w:val="auto"/>
          <w:kern w:val="0"/>
          <w:sz w:val="32"/>
          <w:szCs w:val="32"/>
          <w:lang w:val="en-US" w:eastAsia="zh-CN" w:bidi="ar-SA"/>
        </w:rPr>
        <w:t>发现的主要问题及原因：</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一是预算编制有待更严格执行；二是专项支出有待进一步加强。</w:t>
      </w:r>
      <w:r>
        <w:rPr>
          <w:rFonts w:hint="eastAsia" w:ascii="Times New Roman" w:hAnsi="Times New Roman" w:eastAsia="仿宋_GB2312" w:cs="Times New Roman"/>
          <w:bCs w:val="0"/>
          <w:color w:val="auto"/>
          <w:kern w:val="0"/>
          <w:sz w:val="32"/>
          <w:szCs w:val="32"/>
          <w:lang w:val="en-US" w:eastAsia="zh-CN" w:bidi="ar-SA"/>
        </w:rPr>
        <w:t>下一步改进措施：</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一是按照预算规定的项目和用途严格财务审计，经费支出严格按预算规定项目的财务支出内容进行财务预算，在预算金额内严格控制费用的支出</w:t>
      </w:r>
      <w:r>
        <w:rPr>
          <w:rFonts w:hint="eastAsia"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二是进一步细化“三公”经费管理，杜绝挪用和挤占其他预算资金</w:t>
      </w:r>
      <w:r>
        <w:rPr>
          <w:rFonts w:hint="eastAsia"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三是预算财务分析常态化，定期做好预算支出财务分析，做好单位整体支出预算评价工作。</w:t>
      </w:r>
    </w:p>
    <w:p w14:paraId="7D8B6251">
      <w:pPr>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b/>
          <w:bCs/>
          <w:kern w:val="0"/>
          <w:sz w:val="32"/>
          <w:szCs w:val="32"/>
          <w:lang w:eastAsia="zh-CN"/>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color w:val="auto"/>
          <w:kern w:val="0"/>
          <w:sz w:val="32"/>
          <w:szCs w:val="32"/>
          <w:lang w:val="en-US" w:eastAsia="zh-CN"/>
        </w:rPr>
        <w:t>本单位为二级预算单位，部门评价结果可详见上级部门决算公开说明。</w:t>
      </w:r>
    </w:p>
    <w:p w14:paraId="6E340A8C">
      <w:pPr>
        <w:pStyle w:val="2"/>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b/>
          <w:bCs/>
          <w:kern w:val="0"/>
          <w:sz w:val="32"/>
          <w:szCs w:val="32"/>
          <w:highlight w:val="none"/>
          <w:lang w:eastAsia="zh-CN"/>
        </w:rPr>
        <w:t>。</w:t>
      </w:r>
      <w:r>
        <w:rPr>
          <w:rFonts w:hint="eastAsia" w:ascii="Times New Roman" w:hAnsi="Times New Roman" w:eastAsia="仿宋_GB2312" w:cs="Times New Roman"/>
          <w:color w:val="auto"/>
          <w:kern w:val="0"/>
          <w:sz w:val="32"/>
          <w:szCs w:val="32"/>
          <w:lang w:val="en-US" w:eastAsia="zh-CN"/>
        </w:rPr>
        <w:t>本单位为二级预算单位，事前绩效评估结果可详见上级部门决算公开说明。</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45B506D2">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一是绩效评价结果报告。绩效评价工作完成后，及时将重点绩效评价组织安排、实施过程、结果等级等梳理汇总，向主要领导报告，作为审查监督、部门决策和年度绩效评估考核等提供参考依据。</w:t>
      </w:r>
    </w:p>
    <w:p w14:paraId="644BBF3A">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二是绩效评价结果反馈整改。在评价结果确定后，组织召开重点绩效评价结果反馈及问题整改部署会，并以结果反馈意见函的形式，将评价结论、存在问题、意见建议和整改要求进行书面反馈。被评价股室对照绩效评价报告反映的问题和提出的建议，逐条分析问题原因，查找管理漏洞，制定整改方案，落实整改责任，限期整改到位，确保建议有回应、问题有对策、整改有实效。</w:t>
      </w:r>
    </w:p>
    <w:p w14:paraId="1C933577">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三是评价结果与预算安排挂钩。根据本单位预算支出绩效评价结果应用管理办法，着力将绩效评价结果作为下年度预算安排的重要依据，切实将绩效管理结果与预算安排深度融合。</w:t>
      </w:r>
    </w:p>
    <w:p w14:paraId="2E1CBAA7">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四是绩效评价结果公开。根据政府信息公开的有关规定，按照非涉密全公开的要求，将绩效评价报告在</w:t>
      </w:r>
      <w:r>
        <w:rPr>
          <w:rFonts w:hint="eastAsia" w:ascii="Times New Roman" w:hAnsi="Times New Roman" w:eastAsia="仿宋_GB2312" w:cs="Times New Roman"/>
          <w:color w:val="auto"/>
          <w:sz w:val="32"/>
          <w:szCs w:val="32"/>
          <w:highlight w:val="none"/>
          <w:lang w:val="en-US" w:eastAsia="zh-CN"/>
        </w:rPr>
        <w:t>单位公示栏</w:t>
      </w:r>
      <w:r>
        <w:rPr>
          <w:rFonts w:hint="eastAsia" w:ascii="Times New Roman" w:hAnsi="Times New Roman" w:eastAsia="仿宋_GB2312" w:cs="Times New Roman"/>
          <w:color w:val="auto"/>
          <w:sz w:val="32"/>
          <w:szCs w:val="32"/>
          <w:highlight w:val="none"/>
        </w:rPr>
        <w:t>公开，接受社会公众监督</w:t>
      </w:r>
      <w:r>
        <w:rPr>
          <w:rFonts w:ascii="Times New Roman" w:hAnsi="Times New Roman" w:eastAsia="仿宋_GB2312" w:cs="Times New Roman"/>
          <w:color w:val="auto"/>
          <w:sz w:val="32"/>
          <w:szCs w:val="32"/>
          <w:highlight w:val="none"/>
        </w:rPr>
        <w:t>。</w:t>
      </w:r>
    </w:p>
    <w:p w14:paraId="4BD13585">
      <w:pPr>
        <w:autoSpaceDE w:val="0"/>
        <w:autoSpaceDN w:val="0"/>
        <w:adjustRightInd w:val="0"/>
        <w:ind w:firstLine="640" w:firstLineChars="200"/>
        <w:jc w:val="left"/>
        <w:rPr>
          <w:color w:val="000000" w:themeColor="text1"/>
          <w:sz w:val="72"/>
          <w:szCs w:val="72"/>
          <w14:textFill>
            <w14:solidFill>
              <w14:schemeClr w14:val="tx1"/>
            </w14:solidFill>
          </w14:textFill>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FFDC052">
      <w:pPr>
        <w:pStyle w:val="13"/>
        <w:jc w:val="center"/>
        <w:rPr>
          <w:rFonts w:hint="eastAsia" w:ascii="方正小标宋_GBK" w:hAnsi="方正小标宋_GBK" w:eastAsia="方正小标宋_GBK" w:cs="方正小标宋_GBK"/>
          <w:color w:val="000000" w:themeColor="text1"/>
          <w:sz w:val="70"/>
          <w:szCs w:val="70"/>
          <w:lang w:eastAsia="zh-CN"/>
          <w14:textFill>
            <w14:solidFill>
              <w14:schemeClr w14:val="tx1"/>
            </w14:solidFill>
          </w14:textFill>
        </w:rPr>
      </w:pPr>
    </w:p>
    <w:p w14:paraId="6D87986F">
      <w:pPr>
        <w:pStyle w:val="13"/>
        <w:jc w:val="center"/>
        <w:rPr>
          <w:rFonts w:hint="eastAsia" w:ascii="方正小标宋_GBK" w:hAnsi="方正小标宋_GBK" w:eastAsia="方正小标宋_GBK" w:cs="方正小标宋_GBK"/>
          <w:color w:val="000000" w:themeColor="text1"/>
          <w:sz w:val="70"/>
          <w:szCs w:val="70"/>
          <w:lang w:eastAsia="zh-CN"/>
          <w14:textFill>
            <w14:solidFill>
              <w14:schemeClr w14:val="tx1"/>
            </w14:solidFill>
          </w14:textFill>
        </w:rPr>
      </w:pPr>
    </w:p>
    <w:p w14:paraId="69A54043">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bookmarkStart w:id="0" w:name="_GoBack"/>
      <w:bookmarkEnd w:id="0"/>
    </w:p>
    <w:p w14:paraId="4A7CA34B">
      <w:pPr>
        <w:pStyle w:val="13"/>
        <w:jc w:val="center"/>
        <w:rPr>
          <w:rFonts w:hint="eastAsia" w:ascii="方正小标宋_GBK" w:hAnsi="方正小标宋_GBK" w:eastAsia="方正小标宋_GBK" w:cs="方正小标宋_GBK"/>
          <w:sz w:val="84"/>
          <w:szCs w:val="84"/>
        </w:rPr>
      </w:pPr>
    </w:p>
    <w:p w14:paraId="35A98147">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第四部分</w:t>
      </w:r>
    </w:p>
    <w:p w14:paraId="44AAA654">
      <w:pPr>
        <w:pStyle w:val="13"/>
        <w:jc w:val="center"/>
        <w:rPr>
          <w:rFonts w:hint="eastAsia" w:ascii="方正小标宋_GBK" w:hAnsi="方正小标宋_GBK" w:eastAsia="方正小标宋_GBK" w:cs="方正小标宋_GBK"/>
          <w:sz w:val="84"/>
          <w:szCs w:val="84"/>
        </w:rPr>
      </w:pPr>
    </w:p>
    <w:p w14:paraId="2D8210F0">
      <w:pPr>
        <w:pStyle w:val="13"/>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rPr>
        <w:t>名词解释</w:t>
      </w:r>
    </w:p>
    <w:p w14:paraId="78AFBF30">
      <w:pPr>
        <w:pStyle w:val="8"/>
        <w:rPr>
          <w:color w:val="000000" w:themeColor="text1"/>
          <w14:textFill>
            <w14:solidFill>
              <w14:schemeClr w14:val="tx1"/>
            </w14:solidFill>
          </w14:textFill>
        </w:rPr>
      </w:pPr>
    </w:p>
    <w:p w14:paraId="2943A024">
      <w:pPr>
        <w:pStyle w:val="4"/>
        <w:rPr>
          <w:color w:val="000000" w:themeColor="text1"/>
          <w14:textFill>
            <w14:solidFill>
              <w14:schemeClr w14:val="tx1"/>
            </w14:solidFill>
          </w14:textFill>
        </w:rPr>
      </w:pPr>
    </w:p>
    <w:p w14:paraId="3CFB3B61">
      <w:pPr>
        <w:rPr>
          <w:color w:val="000000" w:themeColor="text1"/>
          <w14:textFill>
            <w14:solidFill>
              <w14:schemeClr w14:val="tx1"/>
            </w14:solidFill>
          </w14:textFill>
        </w:rPr>
      </w:pPr>
    </w:p>
    <w:p w14:paraId="599589C3">
      <w:pPr>
        <w:pStyle w:val="8"/>
        <w:rPr>
          <w:color w:val="000000" w:themeColor="text1"/>
          <w14:textFill>
            <w14:solidFill>
              <w14:schemeClr w14:val="tx1"/>
            </w14:solidFill>
          </w14:textFill>
        </w:rPr>
      </w:pPr>
    </w:p>
    <w:p w14:paraId="405E725F">
      <w:pPr>
        <w:pStyle w:val="4"/>
        <w:rPr>
          <w:color w:val="000000" w:themeColor="text1"/>
          <w14:textFill>
            <w14:solidFill>
              <w14:schemeClr w14:val="tx1"/>
            </w14:solidFill>
          </w14:textFill>
        </w:rPr>
      </w:pPr>
    </w:p>
    <w:p w14:paraId="3107014C">
      <w:pPr>
        <w:rPr>
          <w:color w:val="000000" w:themeColor="text1"/>
          <w14:textFill>
            <w14:solidFill>
              <w14:schemeClr w14:val="tx1"/>
            </w14:solidFill>
          </w14:textFill>
        </w:rPr>
      </w:pPr>
    </w:p>
    <w:p w14:paraId="550B4C3A">
      <w:pPr>
        <w:pStyle w:val="8"/>
        <w:rPr>
          <w:color w:val="000000" w:themeColor="text1"/>
          <w14:textFill>
            <w14:solidFill>
              <w14:schemeClr w14:val="tx1"/>
            </w14:solidFill>
          </w14:textFill>
        </w:rPr>
      </w:pPr>
    </w:p>
    <w:p w14:paraId="60D708E6">
      <w:pPr>
        <w:pStyle w:val="4"/>
        <w:rPr>
          <w:color w:val="000000" w:themeColor="text1"/>
          <w14:textFill>
            <w14:solidFill>
              <w14:schemeClr w14:val="tx1"/>
            </w14:solidFill>
          </w14:textFill>
        </w:rPr>
      </w:pPr>
    </w:p>
    <w:p w14:paraId="31E815A4">
      <w:pPr>
        <w:rPr>
          <w:color w:val="000000" w:themeColor="text1"/>
          <w14:textFill>
            <w14:solidFill>
              <w14:schemeClr w14:val="tx1"/>
            </w14:solidFill>
          </w14:textFill>
        </w:rPr>
      </w:pPr>
    </w:p>
    <w:p w14:paraId="34FF1784">
      <w:pPr>
        <w:pStyle w:val="8"/>
        <w:rPr>
          <w:color w:val="000000" w:themeColor="text1"/>
          <w14:textFill>
            <w14:solidFill>
              <w14:schemeClr w14:val="tx1"/>
            </w14:solidFill>
          </w14:textFill>
        </w:rPr>
      </w:pPr>
    </w:p>
    <w:p w14:paraId="7F4444EA">
      <w:pPr>
        <w:pStyle w:val="4"/>
        <w:rPr>
          <w:color w:val="000000" w:themeColor="text1"/>
          <w14:textFill>
            <w14:solidFill>
              <w14:schemeClr w14:val="tx1"/>
            </w14:solidFill>
          </w14:textFill>
        </w:rPr>
      </w:pPr>
    </w:p>
    <w:p w14:paraId="0353FAD0">
      <w:pPr>
        <w:rPr>
          <w:color w:val="000000" w:themeColor="text1"/>
          <w14:textFill>
            <w14:solidFill>
              <w14:schemeClr w14:val="tx1"/>
            </w14:solidFill>
          </w14:textFill>
        </w:rPr>
      </w:pPr>
    </w:p>
    <w:p w14:paraId="22784AA7">
      <w:pPr>
        <w:pStyle w:val="8"/>
        <w:rPr>
          <w:color w:val="000000" w:themeColor="text1"/>
          <w14:textFill>
            <w14:solidFill>
              <w14:schemeClr w14:val="tx1"/>
            </w14:solidFill>
          </w14:textFill>
        </w:rPr>
      </w:pPr>
    </w:p>
    <w:p w14:paraId="4994FC90">
      <w:pPr>
        <w:pStyle w:val="4"/>
        <w:rPr>
          <w:color w:val="000000" w:themeColor="text1"/>
          <w14:textFill>
            <w14:solidFill>
              <w14:schemeClr w14:val="tx1"/>
            </w14:solidFill>
          </w14:textFill>
        </w:rPr>
      </w:pPr>
    </w:p>
    <w:p w14:paraId="05442758">
      <w:pPr>
        <w:rPr>
          <w:color w:val="000000" w:themeColor="text1"/>
          <w14:textFill>
            <w14:solidFill>
              <w14:schemeClr w14:val="tx1"/>
            </w14:solidFill>
          </w14:textFill>
        </w:rPr>
      </w:pPr>
    </w:p>
    <w:p w14:paraId="7584C12B">
      <w:pPr>
        <w:pStyle w:val="8"/>
        <w:rPr>
          <w:color w:val="000000" w:themeColor="text1"/>
          <w14:textFill>
            <w14:solidFill>
              <w14:schemeClr w14:val="tx1"/>
            </w14:solidFill>
          </w14:textFill>
        </w:rPr>
      </w:pPr>
    </w:p>
    <w:p w14:paraId="1718D50B">
      <w:pPr>
        <w:pStyle w:val="4"/>
        <w:rPr>
          <w:color w:val="000000" w:themeColor="text1"/>
          <w14:textFill>
            <w14:solidFill>
              <w14:schemeClr w14:val="tx1"/>
            </w14:solidFill>
          </w14:textFill>
        </w:rPr>
      </w:pPr>
    </w:p>
    <w:p w14:paraId="03710613">
      <w:pPr>
        <w:rPr>
          <w:color w:val="000000" w:themeColor="text1"/>
          <w14:textFill>
            <w14:solidFill>
              <w14:schemeClr w14:val="tx1"/>
            </w14:solidFill>
          </w14:textFill>
        </w:rPr>
      </w:pPr>
    </w:p>
    <w:p w14:paraId="173E943E">
      <w:pPr>
        <w:pStyle w:val="8"/>
        <w:rPr>
          <w:color w:val="000000" w:themeColor="text1"/>
          <w14:textFill>
            <w14:solidFill>
              <w14:schemeClr w14:val="tx1"/>
            </w14:solidFill>
          </w14:textFill>
        </w:rPr>
      </w:pPr>
    </w:p>
    <w:p w14:paraId="735A0AEE">
      <w:pPr>
        <w:rPr>
          <w:color w:val="000000" w:themeColor="text1"/>
          <w14:textFill>
            <w14:solidFill>
              <w14:schemeClr w14:val="tx1"/>
            </w14:solidFill>
          </w14:textFill>
        </w:rPr>
      </w:pPr>
    </w:p>
    <w:p w14:paraId="1105F5E5">
      <w:pPr>
        <w:pStyle w:val="8"/>
        <w:rPr>
          <w:color w:val="000000" w:themeColor="text1"/>
          <w14:textFill>
            <w14:solidFill>
              <w14:schemeClr w14:val="tx1"/>
            </w14:solidFill>
          </w14:textFill>
        </w:rPr>
      </w:pPr>
    </w:p>
    <w:p w14:paraId="141C257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14:paraId="7308AEC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p>
    <w:p w14:paraId="3EF4ADD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财政拨款收入：指本级财政当年拨付的资金。</w:t>
      </w:r>
    </w:p>
    <w:p w14:paraId="53CB76C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其他收入：指除上述</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财政拨款收入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上级补助收入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事业收入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经营收入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附属单位上缴收入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等以外的收入。</w:t>
      </w:r>
    </w:p>
    <w:p w14:paraId="5FC26B37">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使用非财政拨款结余：指事业单位在当年的</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财政拨款收入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财政拨款结转和结余资金</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上级补助收入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事业收入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经营收入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附属单位上缴收入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不足以安排当年支出情况下，使用以前年度积累的使用非财政拨款结余弥补收支差额的资金（事业单位当年收支相抵后按国家规定提取、用于弥补以后年度收支差额的非财政拨款结余）。</w:t>
      </w:r>
    </w:p>
    <w:p w14:paraId="20D441F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年初结转和结余：指以前年度尚未完成、结转到本年按有关规定继续使用的资金。</w:t>
      </w:r>
    </w:p>
    <w:p w14:paraId="65006B9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年末结转和结余资金：指本年度或以前年度预算安排、因客观条件发生变化无法按原计划实施，需要延迟到以后年度按有关规定继续使用的资金。</w:t>
      </w:r>
    </w:p>
    <w:p w14:paraId="2AEF18E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科学技术支出（类）：是指用于科学技术方面的支出，包括保障机构正常运转、完成日常和特定的工作任务或事业发展目标的支出。</w:t>
      </w:r>
    </w:p>
    <w:p w14:paraId="2308AC1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9484DB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卫生健康支出（类）：是指用于医疗卫生与计划生育方面的支出，包括保障机构正常运转、完成日常和特定的工作任务或事业发展目标的支出。</w:t>
      </w:r>
    </w:p>
    <w:p w14:paraId="5014260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节能环保支出（类）：是指用于节能环保支出，包括保障机构正常运转、完成日常和特定的工作任务或事业发展目标的支出。</w:t>
      </w:r>
    </w:p>
    <w:p w14:paraId="54DF9E4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农林水支出（类）：是指用于农林水事务支出，包括保障机构正常运转、完成日常和特定的工作任务或事业发展目标的支出。</w:t>
      </w:r>
    </w:p>
    <w:p w14:paraId="0E70621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资源勘探工业信息等支出（类）：是指用于资源勘探、制造业、建筑业、工业信息等方面支出，包括保障机构正常运转、完成日常和特定的工作任务或事业发展目标的支出。</w:t>
      </w:r>
    </w:p>
    <w:p w14:paraId="7E4E52F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自然资源海洋气象等支出（类）：是指用于自然资源、海洋、测绘、气象等公益服务事业方面的支出，包括保障机构正常运转、完成日常和特定的工作任务或事业发展目标的支出。</w:t>
      </w:r>
    </w:p>
    <w:p w14:paraId="44478EA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住房保障支出（类）：是指用于住房方面的支出，包括保障机构正常运转、完成日常和特定的工作任务或事业发展目标的支出。</w:t>
      </w:r>
    </w:p>
    <w:p w14:paraId="4BF23C8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其他支出（类）：是指用于反映除上述项目以外其他不能划分到具体功能科目中的支出项目，包括保障机构正常运转、完成日常和特定的工作任务或事业发展目标的支出。</w:t>
      </w:r>
    </w:p>
    <w:p w14:paraId="0832461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基本支出：指保障机构正常运转、完成支日常工作任务而发生的人员支出和公用支出。</w:t>
      </w:r>
    </w:p>
    <w:p w14:paraId="3FC55948">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项目支出：指在基本支出之外为完成特定行政任务和事业发展目标所发生的支出。</w:t>
      </w:r>
    </w:p>
    <w:p w14:paraId="06783D9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三公</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061345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14348DB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政府采购：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2473C8A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工资福利支出：反映单位开支的在职职工和编制外长期聘用人员的各类劳动报酬，以及为上述人员缴纳的各项社会保险费等。</w:t>
      </w:r>
    </w:p>
    <w:p w14:paraId="4D166C5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706F3AF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津贴补贴：反映经国家批准建立的机关事业单位艰苦边远地区津贴、机关工作人员地区附加津贴、机关工作人员岗位津贴、事业单位工作人员特殊岗位津贴补贴等。</w:t>
      </w:r>
    </w:p>
    <w:p w14:paraId="2887E13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奖金：反映机关工作人员年终一次性奖金。</w:t>
      </w:r>
    </w:p>
    <w:p w14:paraId="1A579BB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伙食补助费：反映单位发给职工的伙食补助费，如误餐补助等。</w:t>
      </w:r>
    </w:p>
    <w:p w14:paraId="02866245">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绩效工资：反映事业单位工作人员的绩效工资。</w:t>
      </w:r>
    </w:p>
    <w:p w14:paraId="4596236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机关事业单位基本养老保险缴费：反映机关事业单位缴纳的基本养老保险费。由单位代扣的工作人员基本养老保险缴费，不在此科目反映。</w:t>
      </w:r>
    </w:p>
    <w:p w14:paraId="18E1DD08">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职工基本医疗保险缴费：反映单位为职工缴纳的基本医疗保险费。</w:t>
      </w:r>
    </w:p>
    <w:p w14:paraId="142C9A1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其他社会保障缴费：反映单位为职工缴纳的基本医疗、失业、工伤、生育等社会保险费，残疾人就业保障金，军队（含武警）为军人缴纳的伤亡、退役医疗等社会保险费。</w:t>
      </w:r>
    </w:p>
    <w:p w14:paraId="5FC649E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住房公积金：反映行政事业单位按人力资源和社会保障部、财政部规定的基本工资和津贴补贴以及规定比例为职工缴纳的住房公积金。</w:t>
      </w:r>
    </w:p>
    <w:p w14:paraId="114D290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医疗费：反映未参加医疗保险单位的医疗经费和单位按规定为职工支出的其他医疗费用。</w:t>
      </w:r>
    </w:p>
    <w:p w14:paraId="5E8B50F7">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2FD0A2B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商品和服务支出：反映单位购买商品和服务的支出（不包括用于购置固定资产的支出、战略性和应急储备支出）。</w:t>
      </w:r>
    </w:p>
    <w:p w14:paraId="1F6BE817">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办公费：反映单位购买按财务会计制度规定不符合固定资产确认标准的日常办公用品、书报杂志等支出。</w:t>
      </w:r>
    </w:p>
    <w:p w14:paraId="02A7086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印刷费：反映单位的印刷费支出。</w:t>
      </w:r>
    </w:p>
    <w:p w14:paraId="098E22F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水费：反映单位支付的水费、污水处理费等支出。</w:t>
      </w:r>
    </w:p>
    <w:p w14:paraId="03AB82D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电费：反映单位的电费支出。</w:t>
      </w:r>
    </w:p>
    <w:p w14:paraId="004E9B0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邮电费：反映单位开支的信函、包裹、货物等物品的邮寄费及电话费、电报费、传真费、网络通讯费等。</w:t>
      </w:r>
    </w:p>
    <w:p w14:paraId="119BBF3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物业管理费：反映单位开支的办公用房以及未实行职工住宅物业服务改革的在职职工和离退休人员宿舍等的物业管理费，包括综合治理、绿化、卫生等方面的支出。</w:t>
      </w:r>
    </w:p>
    <w:p w14:paraId="5D15665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差旅费：反映单位工作人员出差发生的城市间交通费、住宿费、伙食补贴费和市内交通费。</w:t>
      </w:r>
    </w:p>
    <w:p w14:paraId="339549A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维修(护)费：反映单位日常开支的固定资产（不包括车船等交通工具）修理和维护费用，网络信息系统运行与维护费用，以及按规定提取的修购基金。</w:t>
      </w:r>
    </w:p>
    <w:p w14:paraId="287DA6D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租赁费：反映租赁办公用房、宿舍、专用通讯网以及其他设备等方面的费用。</w:t>
      </w:r>
    </w:p>
    <w:p w14:paraId="4A1CC05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会议费：反映会议中按规定开支的住宿费、伙食费、会议室租金、交通费、文件印刷费、医药费等。</w:t>
      </w:r>
    </w:p>
    <w:p w14:paraId="0DAF550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培训费：反映除因公出国（境）培训费以外的各类培训支出。</w:t>
      </w:r>
    </w:p>
    <w:p w14:paraId="6FA092F5">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公务接待费：反映单位按规定开支的各类公务接待（含外宾接待）费用。</w:t>
      </w:r>
    </w:p>
    <w:p w14:paraId="37AB7E8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7FB12C0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专用燃料费：反映用作业务工作设备的车、船设施等的油料支出。</w:t>
      </w:r>
    </w:p>
    <w:p w14:paraId="000220B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劳务费：反映支付给单位和个人的劳务费用，如临时聘用人员、钟点工工资，稿费、翻译费，评审费等。</w:t>
      </w:r>
    </w:p>
    <w:p w14:paraId="0AC70BF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委托业务费：反映因委托外单位办理业务而支付的委托业务费。</w:t>
      </w:r>
    </w:p>
    <w:p w14:paraId="44845C9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工会经费：反映单位按规定提取的工会经费。</w:t>
      </w:r>
    </w:p>
    <w:p w14:paraId="18A1451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福利费：反映单位按规定提取的福利费。</w:t>
      </w:r>
    </w:p>
    <w:p w14:paraId="4CF222B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公务用车运行维护费：反映单位按规定保留的公务用车燃料费、维修费、过桥过路费、保险费、安全奖励费用等支出。</w:t>
      </w:r>
    </w:p>
    <w:p w14:paraId="3177825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其他交通费用：反映单位除公务用车运行维护费以外的其他交通费用。如公务交通补贴，租车费用、出租车费用，飞机、船舶等的燃料费、维修费、保险费等。</w:t>
      </w:r>
    </w:p>
    <w:p w14:paraId="1B2AE01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税金及附加费用：反映单位提供劳务或销售产品应负担的税金及附加费用，包括营业税、消费税、城市维护建设税、资源税和教育附加等。</w:t>
      </w:r>
    </w:p>
    <w:p w14:paraId="767103C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其他商品和服务支出：反映上述科目未包括的日常公用支出。如行政赔偿费和诉讼费、国内组织的会员费、来访费、广告宣传、其他劳务费及离休人员特需费、公用经费等。</w:t>
      </w:r>
    </w:p>
    <w:p w14:paraId="6E3C52A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对个人和家庭的补助：反映政府用于对个人和家庭的补助支出。</w:t>
      </w:r>
    </w:p>
    <w:p w14:paraId="126209F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离休费：反映行政事业单位和军队移交政府安置的离休人员的离休费、护理费和其他补贴。</w:t>
      </w:r>
    </w:p>
    <w:p w14:paraId="41532185">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退休费：反映行政事业单位和军队移交政府安置的退休人员的退休费和其他补贴。</w:t>
      </w:r>
    </w:p>
    <w:p w14:paraId="5810FB2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抚恤金：反映按规定开支的烈士遗属、牺牲病故人员遗属的一次性和定期抚恤金，伤残人员的抚恤金，离退休人员等其他人员的各项抚恤金。</w:t>
      </w:r>
    </w:p>
    <w:p w14:paraId="4788498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52F5C90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14:paraId="6F3E6BB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奖励金：反映政府各部门的奖励支出，如对个体私营经济的奖励、计划生育目标责任奖励、独生子女父母奖励等。</w:t>
      </w:r>
    </w:p>
    <w:p w14:paraId="1A5B1A4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其他对个人和家庭的补助支出：反映未包括在上述科目的对个人和家庭的补助支出，</w:t>
      </w:r>
    </w:p>
    <w:p w14:paraId="036A2DA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办公设备购置：反映用于购置并按财务会计制度规定纳入固定资产核算范围的办公家具和办公设备的支出，以及按规定提取的修购基金。</w:t>
      </w:r>
    </w:p>
    <w:p w14:paraId="67947E4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公务用车购置：反映公务用车车辆购置支出（含车辆购置税）。</w:t>
      </w:r>
    </w:p>
    <w:p w14:paraId="3E36B903">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2E3F6335">
      <w:pPr>
        <w:pStyle w:val="13"/>
        <w:jc w:val="both"/>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51C1C29A">
      <w:pPr>
        <w:pStyle w:val="13"/>
        <w:jc w:val="both"/>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396BDE61">
      <w:pPr>
        <w:pStyle w:val="4"/>
        <w:ind w:left="0" w:leftChars="0" w:firstLine="0" w:firstLineChars="0"/>
        <w:rPr>
          <w:color w:val="000000" w:themeColor="text1"/>
          <w14:textFill>
            <w14:solidFill>
              <w14:schemeClr w14:val="tx1"/>
            </w14:solidFill>
          </w14:textFill>
        </w:rPr>
      </w:pPr>
    </w:p>
    <w:p w14:paraId="7F9139A8">
      <w:pPr>
        <w:rPr>
          <w:color w:val="000000" w:themeColor="text1"/>
          <w14:textFill>
            <w14:solidFill>
              <w14:schemeClr w14:val="tx1"/>
            </w14:solidFill>
          </w14:textFill>
        </w:rPr>
      </w:pPr>
    </w:p>
    <w:p w14:paraId="431D47D1">
      <w:pPr>
        <w:pStyle w:val="8"/>
        <w:rPr>
          <w:color w:val="000000" w:themeColor="text1"/>
          <w14:textFill>
            <w14:solidFill>
              <w14:schemeClr w14:val="tx1"/>
            </w14:solidFill>
          </w14:textFill>
        </w:rPr>
      </w:pPr>
    </w:p>
    <w:p w14:paraId="59D72000">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7098260F">
      <w:pPr>
        <w:pStyle w:val="13"/>
        <w:jc w:val="center"/>
        <w:rPr>
          <w:rFonts w:hint="eastAsia" w:ascii="方正小标宋_GBK" w:hAnsi="方正小标宋_GBK" w:eastAsia="方正小标宋_GBK" w:cs="方正小标宋_GBK"/>
          <w:color w:val="000000" w:themeColor="text1"/>
          <w:sz w:val="84"/>
          <w:szCs w:val="84"/>
          <w:lang w:eastAsia="zh-CN"/>
          <w14:textFill>
            <w14:solidFill>
              <w14:schemeClr w14:val="tx1"/>
            </w14:solidFill>
          </w14:textFill>
        </w:rPr>
      </w:pPr>
      <w:r>
        <w:rPr>
          <w:rFonts w:hint="eastAsia" w:ascii="方正小标宋_GBK" w:hAnsi="方正小标宋_GBK" w:eastAsia="方正小标宋_GBK" w:cs="方正小标宋_GBK"/>
          <w:color w:val="000000" w:themeColor="text1"/>
          <w:sz w:val="84"/>
          <w:szCs w:val="84"/>
          <w14:textFill>
            <w14:solidFill>
              <w14:schemeClr w14:val="tx1"/>
            </w14:solidFill>
          </w14:textFill>
        </w:rPr>
        <w:t>第</w:t>
      </w:r>
      <w:r>
        <w:rPr>
          <w:rFonts w:hint="eastAsia" w:ascii="方正小标宋_GBK" w:hAnsi="方正小标宋_GBK" w:eastAsia="方正小标宋_GBK" w:cs="方正小标宋_GBK"/>
          <w:color w:val="000000" w:themeColor="text1"/>
          <w:sz w:val="84"/>
          <w:szCs w:val="84"/>
          <w:lang w:eastAsia="zh-CN"/>
          <w14:textFill>
            <w14:solidFill>
              <w14:schemeClr w14:val="tx1"/>
            </w14:solidFill>
          </w14:textFill>
        </w:rPr>
        <w:t>五</w:t>
      </w:r>
      <w:r>
        <w:rPr>
          <w:rFonts w:hint="eastAsia" w:ascii="方正小标宋_GBK" w:hAnsi="方正小标宋_GBK" w:eastAsia="方正小标宋_GBK" w:cs="方正小标宋_GBK"/>
          <w:color w:val="000000" w:themeColor="text1"/>
          <w:sz w:val="84"/>
          <w:szCs w:val="84"/>
          <w14:textFill>
            <w14:solidFill>
              <w14:schemeClr w14:val="tx1"/>
            </w14:solidFill>
          </w14:textFill>
        </w:rPr>
        <w:t>部分</w:t>
      </w:r>
    </w:p>
    <w:p w14:paraId="4043A687">
      <w:pPr>
        <w:pStyle w:val="13"/>
        <w:jc w:val="center"/>
        <w:rPr>
          <w:rFonts w:hint="eastAsia" w:ascii="方正小标宋_GBK" w:hAnsi="方正小标宋_GBK" w:eastAsia="方正小标宋_GBK" w:cs="方正小标宋_GBK"/>
          <w:color w:val="000000" w:themeColor="text1"/>
          <w:sz w:val="84"/>
          <w:szCs w:val="84"/>
          <w:lang w:eastAsia="zh-CN"/>
          <w14:textFill>
            <w14:solidFill>
              <w14:schemeClr w14:val="tx1"/>
            </w14:solidFill>
          </w14:textFill>
        </w:rPr>
      </w:pPr>
    </w:p>
    <w:p w14:paraId="25032879">
      <w:pPr>
        <w:pStyle w:val="13"/>
        <w:jc w:val="center"/>
        <w:rPr>
          <w:rFonts w:hint="eastAsia" w:ascii="方正小标宋_GBK" w:hAnsi="方正小标宋_GBK" w:eastAsia="方正小标宋_GBK" w:cs="方正小标宋_GBK"/>
          <w:color w:val="000000" w:themeColor="text1"/>
          <w:sz w:val="84"/>
          <w:szCs w:val="84"/>
          <w:lang w:eastAsia="zh-CN"/>
          <w14:textFill>
            <w14:solidFill>
              <w14:schemeClr w14:val="tx1"/>
            </w14:solidFill>
          </w14:textFill>
        </w:rPr>
      </w:pPr>
      <w:r>
        <w:rPr>
          <w:rFonts w:hint="eastAsia" w:ascii="方正小标宋_GBK" w:hAnsi="方正小标宋_GBK" w:eastAsia="方正小标宋_GBK" w:cs="方正小标宋_GBK"/>
          <w:color w:val="000000" w:themeColor="text1"/>
          <w:sz w:val="84"/>
          <w:szCs w:val="84"/>
          <w:lang w:eastAsia="zh-CN"/>
          <w14:textFill>
            <w14:solidFill>
              <w14:schemeClr w14:val="tx1"/>
            </w14:solidFill>
          </w14:textFill>
        </w:rPr>
        <w:t>附</w:t>
      </w:r>
      <w:r>
        <w:rPr>
          <w:rFonts w:hint="eastAsia" w:ascii="方正小标宋_GBK" w:hAnsi="方正小标宋_GBK" w:eastAsia="方正小标宋_GBK" w:cs="方正小标宋_GBK"/>
          <w:color w:val="000000" w:themeColor="text1"/>
          <w:sz w:val="84"/>
          <w:szCs w:val="84"/>
          <w:lang w:val="en-US" w:eastAsia="zh-CN"/>
          <w14:textFill>
            <w14:solidFill>
              <w14:schemeClr w14:val="tx1"/>
            </w14:solidFill>
          </w14:textFill>
        </w:rPr>
        <w:t xml:space="preserve"> </w:t>
      </w:r>
      <w:r>
        <w:rPr>
          <w:rFonts w:hint="eastAsia" w:ascii="方正小标宋_GBK" w:hAnsi="方正小标宋_GBK" w:eastAsia="方正小标宋_GBK" w:cs="方正小标宋_GBK"/>
          <w:color w:val="000000" w:themeColor="text1"/>
          <w:sz w:val="84"/>
          <w:szCs w:val="84"/>
          <w:lang w:eastAsia="zh-CN"/>
          <w14:textFill>
            <w14:solidFill>
              <w14:schemeClr w14:val="tx1"/>
            </w14:solidFill>
          </w14:textFill>
        </w:rPr>
        <w:t>件</w:t>
      </w:r>
    </w:p>
    <w:p w14:paraId="3280FAFC">
      <w:pPr>
        <w:ind w:firstLine="640" w:firstLineChars="200"/>
        <w:jc w:val="left"/>
        <w:rPr>
          <w:rFonts w:hint="eastAsia" w:ascii="宋体" w:hAnsi="宋体" w:eastAsia="宋体" w:cs="黑体"/>
          <w:b/>
          <w:color w:val="000000" w:themeColor="text1"/>
          <w:kern w:val="0"/>
          <w:sz w:val="32"/>
          <w:szCs w:val="32"/>
          <w:lang w:val="en-US" w:eastAsia="zh-CN"/>
          <w14:textFill>
            <w14:solidFill>
              <w14:schemeClr w14:val="tx1"/>
            </w14:solidFill>
          </w14:textFill>
        </w:rPr>
      </w:pPr>
    </w:p>
    <w:p w14:paraId="47C9B6A4">
      <w:pPr>
        <w:ind w:firstLine="640" w:firstLineChars="200"/>
        <w:jc w:val="left"/>
        <w:rPr>
          <w:rFonts w:hint="eastAsia" w:ascii="宋体" w:hAnsi="宋体" w:eastAsia="宋体" w:cs="黑体"/>
          <w:b/>
          <w:color w:val="000000" w:themeColor="text1"/>
          <w:kern w:val="0"/>
          <w:sz w:val="32"/>
          <w:szCs w:val="32"/>
          <w:lang w:val="en-US" w:eastAsia="zh-CN"/>
          <w14:textFill>
            <w14:solidFill>
              <w14:schemeClr w14:val="tx1"/>
            </w14:solidFill>
          </w14:textFill>
        </w:rPr>
      </w:pPr>
      <w:r>
        <w:rPr>
          <w:rFonts w:hint="eastAsia" w:ascii="宋体" w:hAnsi="宋体" w:eastAsia="宋体" w:cs="黑体"/>
          <w:b/>
          <w:color w:val="000000" w:themeColor="text1"/>
          <w:kern w:val="0"/>
          <w:sz w:val="32"/>
          <w:szCs w:val="32"/>
          <w:lang w:val="en-US" w:eastAsia="zh-CN"/>
          <w14:textFill>
            <w14:solidFill>
              <w14:schemeClr w14:val="tx1"/>
            </w14:solidFill>
          </w14:textFill>
        </w:rPr>
        <w:t>1、2024年部门决算公开表格</w:t>
      </w:r>
    </w:p>
    <w:p w14:paraId="7CC9D8DF">
      <w:pPr>
        <w:ind w:firstLine="640" w:firstLineChars="200"/>
        <w:jc w:val="left"/>
        <w:rPr>
          <w:rFonts w:ascii="宋体" w:hAnsi="宋体" w:eastAsia="宋体" w:cs="黑体"/>
          <w:color w:val="000000" w:themeColor="text1"/>
          <w:kern w:val="0"/>
          <w:sz w:val="32"/>
          <w:szCs w:val="32"/>
          <w14:textFill>
            <w14:solidFill>
              <w14:schemeClr w14:val="tx1"/>
            </w14:solidFill>
          </w14:textFill>
        </w:rPr>
      </w:pPr>
      <w:r>
        <w:rPr>
          <w:rFonts w:hint="eastAsia" w:ascii="宋体" w:hAnsi="宋体" w:eastAsia="宋体" w:cs="黑体"/>
          <w:b/>
          <w:color w:val="000000" w:themeColor="text1"/>
          <w:kern w:val="0"/>
          <w:sz w:val="32"/>
          <w:szCs w:val="32"/>
          <w:lang w:val="en-US" w:eastAsia="zh-CN"/>
          <w14:textFill>
            <w14:solidFill>
              <w14:schemeClr w14:val="tx1"/>
            </w14:solidFill>
          </w14:textFill>
        </w:rPr>
        <w:t>2、</w:t>
      </w:r>
      <w:r>
        <w:rPr>
          <w:rFonts w:hint="eastAsia" w:ascii="宋体" w:hAnsi="宋体" w:eastAsia="宋体" w:cs="黑体"/>
          <w:b/>
          <w:color w:val="000000" w:themeColor="text1"/>
          <w:kern w:val="0"/>
          <w:sz w:val="32"/>
          <w:szCs w:val="32"/>
          <w14:textFill>
            <w14:solidFill>
              <w14:schemeClr w14:val="tx1"/>
            </w14:solidFill>
          </w14:textFill>
        </w:rPr>
        <w:t>202</w:t>
      </w:r>
      <w:r>
        <w:rPr>
          <w:rFonts w:hint="eastAsia" w:ascii="宋体" w:hAnsi="宋体" w:eastAsia="宋体" w:cs="黑体"/>
          <w:b/>
          <w:color w:val="000000" w:themeColor="text1"/>
          <w:kern w:val="0"/>
          <w:sz w:val="32"/>
          <w:szCs w:val="32"/>
          <w:lang w:val="en-US" w:eastAsia="zh-CN"/>
          <w14:textFill>
            <w14:solidFill>
              <w14:schemeClr w14:val="tx1"/>
            </w14:solidFill>
          </w14:textFill>
        </w:rPr>
        <w:t>4</w:t>
      </w:r>
      <w:r>
        <w:rPr>
          <w:rFonts w:hint="eastAsia" w:ascii="宋体" w:hAnsi="宋体" w:eastAsia="宋体" w:cs="黑体"/>
          <w:b/>
          <w:color w:val="000000" w:themeColor="text1"/>
          <w:kern w:val="0"/>
          <w:sz w:val="32"/>
          <w:szCs w:val="32"/>
          <w14:textFill>
            <w14:solidFill>
              <w14:schemeClr w14:val="tx1"/>
            </w14:solidFill>
          </w14:textFill>
        </w:rPr>
        <w:t>年度部门整体支出绩效评价报告</w:t>
      </w:r>
    </w:p>
    <w:p w14:paraId="619D9267">
      <w:pPr>
        <w:rPr>
          <w:color w:val="000000" w:themeColor="text1"/>
          <w14:textFill>
            <w14:solidFill>
              <w14:schemeClr w14:val="tx1"/>
            </w14:solidFill>
          </w14:textFill>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D4466D17"/>
    <w:multiLevelType w:val="singleLevel"/>
    <w:tmpl w:val="D4466D17"/>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275D2E"/>
    <w:rsid w:val="0C06219C"/>
    <w:rsid w:val="101152BF"/>
    <w:rsid w:val="11EC4515"/>
    <w:rsid w:val="122A5DFA"/>
    <w:rsid w:val="12583BA5"/>
    <w:rsid w:val="13BA5B9C"/>
    <w:rsid w:val="179E60DD"/>
    <w:rsid w:val="1C0D6135"/>
    <w:rsid w:val="1D97DEFF"/>
    <w:rsid w:val="1DFF72E5"/>
    <w:rsid w:val="1EFC6F07"/>
    <w:rsid w:val="222D7BDC"/>
    <w:rsid w:val="22AC03C2"/>
    <w:rsid w:val="23CD22A5"/>
    <w:rsid w:val="2F5B80AD"/>
    <w:rsid w:val="2FBE93A3"/>
    <w:rsid w:val="2FDF85B8"/>
    <w:rsid w:val="2FFFEE04"/>
    <w:rsid w:val="31C95635"/>
    <w:rsid w:val="340E0699"/>
    <w:rsid w:val="344931ED"/>
    <w:rsid w:val="34683073"/>
    <w:rsid w:val="34DF85B0"/>
    <w:rsid w:val="351C7993"/>
    <w:rsid w:val="370D5175"/>
    <w:rsid w:val="3B8F36BC"/>
    <w:rsid w:val="3C802F63"/>
    <w:rsid w:val="3F9FAFA9"/>
    <w:rsid w:val="491FF225"/>
    <w:rsid w:val="4F602663"/>
    <w:rsid w:val="4FFD214C"/>
    <w:rsid w:val="51142703"/>
    <w:rsid w:val="51CD1757"/>
    <w:rsid w:val="5352765A"/>
    <w:rsid w:val="53C361C9"/>
    <w:rsid w:val="5777D4F5"/>
    <w:rsid w:val="59DD8326"/>
    <w:rsid w:val="5DEF592A"/>
    <w:rsid w:val="5FC6BB1E"/>
    <w:rsid w:val="5FF720F1"/>
    <w:rsid w:val="616721C9"/>
    <w:rsid w:val="67FF5C0B"/>
    <w:rsid w:val="691F6205"/>
    <w:rsid w:val="6BAA4A2F"/>
    <w:rsid w:val="6EFC0924"/>
    <w:rsid w:val="6FB74722"/>
    <w:rsid w:val="6FEF8B7E"/>
    <w:rsid w:val="71A6591B"/>
    <w:rsid w:val="724105A9"/>
    <w:rsid w:val="737D59BA"/>
    <w:rsid w:val="737F32B1"/>
    <w:rsid w:val="75A23479"/>
    <w:rsid w:val="77C37683"/>
    <w:rsid w:val="77EDA4D4"/>
    <w:rsid w:val="79FF515B"/>
    <w:rsid w:val="7E530626"/>
    <w:rsid w:val="7E9E1962"/>
    <w:rsid w:val="7E9F11B4"/>
    <w:rsid w:val="7EF7A036"/>
    <w:rsid w:val="7EF93583"/>
    <w:rsid w:val="7EFD801D"/>
    <w:rsid w:val="7F37EC1E"/>
    <w:rsid w:val="7F7DCD9D"/>
    <w:rsid w:val="7F970A6F"/>
    <w:rsid w:val="7FB500E3"/>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3D95914"/>
    <w:rsid w:val="EABB318B"/>
    <w:rsid w:val="EEABED75"/>
    <w:rsid w:val="EEEB46DC"/>
    <w:rsid w:val="F56FDF51"/>
    <w:rsid w:val="F612214C"/>
    <w:rsid w:val="F6B69F17"/>
    <w:rsid w:val="F77F1D61"/>
    <w:rsid w:val="F7FED3A9"/>
    <w:rsid w:val="F8C9DB26"/>
    <w:rsid w:val="F97E8EAE"/>
    <w:rsid w:val="FB36E1A6"/>
    <w:rsid w:val="FB3BE134"/>
    <w:rsid w:val="FC7A981E"/>
    <w:rsid w:val="FCFF4275"/>
    <w:rsid w:val="FD7FEEEA"/>
    <w:rsid w:val="FDFFB577"/>
    <w:rsid w:val="FEEA50FE"/>
    <w:rsid w:val="FEFB01AB"/>
    <w:rsid w:val="FF7D47A9"/>
    <w:rsid w:val="FF97956C"/>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jc w:val="center"/>
      <w:outlineLvl w:val="1"/>
    </w:pPr>
    <w:rPr>
      <w:rFonts w:eastAsia="楷体_GB2312"/>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 w:type="paragraph" w:customStyle="1" w:styleId="19">
    <w:name w:val="List Paragraph_a0f507d5-6e28-4914-b37f-020b7d2b0f7c"/>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9599</Words>
  <Characters>10202</Characters>
  <Lines>63</Lines>
  <Paragraphs>18</Paragraphs>
  <TotalTime>8</TotalTime>
  <ScaleCrop>false</ScaleCrop>
  <LinksUpToDate>false</LinksUpToDate>
  <CharactersWithSpaces>10223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2020-07-08T18:32:00Z</dcterms:created>
  <dc:creator>李航 null</dc:creator>
  <cp:lastModifiedBy>肖启</cp:lastModifiedBy>
  <cp:lastPrinted>2024-08-09T02:20:00Z</cp:lastPrinted>
  <dcterms:modified xsi:type="dcterms:W3CDTF">2025-09-19T08:56:50Z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28A516A6BC9E93E58736836881735D54_43</vt:lpwstr>
  </property>
  <property fmtid="{D5CDD505-2E9C-101B-9397-08002B2CF9AE}" pid="4" name="KSOTemplateDocerSaveRecord">
    <vt:lpwstr>eyJoZGlkIjoiYTE3ZDUwYmVlNzk1M2IyYjE3ZWVjZTkwZmQxMGVjNWQiLCJ1c2VySWQiOiIxNDgxMDAwNzI3In0=</vt:lpwstr>
  </property>
</Properties>
</file>