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岳阳市农业农村事务中心</w:t>
      </w: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40" w:lineRule="exact"/>
        <w:jc w:val="center"/>
        <w:rPr>
          <w:sz w:val="56"/>
          <w:szCs w:val="56"/>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岳阳市农业农村事务中心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widowControl/>
        <w:spacing w:line="600" w:lineRule="exact"/>
        <w:ind w:firstLine="640" w:firstLineChars="200"/>
        <w:rPr>
          <w:rFonts w:hint="eastAsia" w:ascii="黑体" w:hAnsi="黑体" w:eastAsia="黑体" w:cs="黑体"/>
          <w:b w:val="0"/>
          <w:bCs/>
          <w:kern w:val="0"/>
          <w:sz w:val="32"/>
          <w:szCs w:val="32"/>
          <w:lang w:eastAsia="zh-CN"/>
        </w:rPr>
      </w:pP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一、部门</w:t>
      </w:r>
      <w:r>
        <w:rPr>
          <w:rFonts w:hint="eastAsia" w:ascii="黑体" w:hAnsi="黑体" w:eastAsia="黑体" w:cs="黑体"/>
          <w:b w:val="0"/>
          <w:bCs/>
          <w:kern w:val="0"/>
          <w:sz w:val="32"/>
          <w:szCs w:val="32"/>
        </w:rPr>
        <w:t>职责</w:t>
      </w:r>
    </w:p>
    <w:p>
      <w:pPr>
        <w:spacing w:before="156" w:beforeLines="50" w:after="156" w:afterLines="50" w:line="560" w:lineRule="exact"/>
        <w:ind w:firstLine="640" w:firstLineChars="200"/>
        <w:rPr>
          <w:rFonts w:hint="eastAsia" w:ascii="Times New Roman" w:hAnsi="Times New Roman" w:eastAsia="仿宋_GB2312" w:cs="仿宋_GB2312"/>
          <w:kern w:val="0"/>
          <w:sz w:val="32"/>
          <w:szCs w:val="32"/>
          <w:lang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kern w:val="0"/>
          <w:sz w:val="32"/>
          <w:szCs w:val="32"/>
        </w:rPr>
        <w:t>主要职责为：</w:t>
      </w:r>
      <w:r>
        <w:rPr>
          <w:rFonts w:hint="eastAsia" w:ascii="Times New Roman" w:hAnsi="Times New Roman" w:eastAsia="仿宋_GB2312" w:cs="仿宋_GB2312"/>
          <w:b/>
          <w:bCs/>
          <w:kern w:val="0"/>
          <w:sz w:val="32"/>
          <w:szCs w:val="32"/>
          <w:lang w:val="en-US" w:eastAsia="zh-CN"/>
        </w:rPr>
        <w:t>一是</w:t>
      </w:r>
      <w:r>
        <w:rPr>
          <w:rFonts w:hint="eastAsia" w:ascii="Times New Roman" w:hAnsi="Times New Roman" w:eastAsia="仿宋_GB2312" w:cs="仿宋_GB2312"/>
          <w:b/>
          <w:bCs/>
          <w:kern w:val="0"/>
          <w:sz w:val="32"/>
          <w:szCs w:val="32"/>
          <w:lang w:val="zh-CN" w:eastAsia="zh-CN"/>
        </w:rPr>
        <w:t>为机关提供支持保障的职能。</w:t>
      </w:r>
      <w:r>
        <w:rPr>
          <w:rFonts w:hint="eastAsia" w:ascii="Times New Roman" w:hAnsi="Times New Roman" w:eastAsia="仿宋_GB2312" w:cs="仿宋_GB2312"/>
          <w:kern w:val="0"/>
          <w:sz w:val="32"/>
          <w:szCs w:val="32"/>
          <w:lang w:val="zh-CN" w:eastAsia="zh-CN"/>
        </w:rPr>
        <w:t>主要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负责乡村振兴事务性工作。</w:t>
      </w:r>
      <w:r>
        <w:rPr>
          <w:rFonts w:hint="eastAsia" w:ascii="Times New Roman" w:hAnsi="Times New Roman" w:eastAsia="仿宋_GB2312" w:cs="仿宋_GB2312"/>
          <w:b/>
          <w:bCs/>
          <w:kern w:val="0"/>
          <w:sz w:val="32"/>
          <w:szCs w:val="32"/>
          <w:lang w:val="zh-CN" w:eastAsia="zh-CN"/>
        </w:rPr>
        <w:t>二是面向社会提供公益服务的职能。</w:t>
      </w:r>
      <w:r>
        <w:rPr>
          <w:rFonts w:hint="eastAsia" w:ascii="Times New Roman" w:hAnsi="Times New Roman" w:eastAsia="仿宋_GB2312" w:cs="仿宋_GB2312"/>
          <w:kern w:val="0"/>
          <w:sz w:val="32"/>
          <w:szCs w:val="32"/>
          <w:lang w:val="zh-CN" w:eastAsia="zh-CN"/>
        </w:rPr>
        <w:t>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pStyle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color w:val="auto"/>
          <w:kern w:val="0"/>
          <w:sz w:val="32"/>
          <w:szCs w:val="32"/>
        </w:rPr>
        <w:t>（一）</w:t>
      </w:r>
      <w:r>
        <w:rPr>
          <w:rFonts w:hint="eastAsia" w:ascii="Times New Roman" w:hAnsi="Times New Roman" w:eastAsia="仿宋_GB2312" w:cs="仿宋_GB2312"/>
          <w:bCs/>
          <w:kern w:val="0"/>
          <w:sz w:val="32"/>
          <w:szCs w:val="32"/>
        </w:rPr>
        <w:t>内设机构设置</w:t>
      </w:r>
    </w:p>
    <w:p>
      <w:pPr>
        <w:widowControl/>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zh-CN" w:eastAsia="zh-CN"/>
        </w:rPr>
        <w:t>岳阳市农业农村事务中心（市农业广播电视学校）内设</w:t>
      </w:r>
      <w:r>
        <w:rPr>
          <w:rFonts w:hint="eastAsia" w:ascii="仿宋_GB2312" w:hAnsi="仿宋_GB2312" w:eastAsia="仿宋_GB2312" w:cs="仿宋_GB2312"/>
          <w:sz w:val="32"/>
          <w:szCs w:val="32"/>
          <w:lang w:val="en-US" w:eastAsia="zh-CN"/>
        </w:rPr>
        <w:t>7个内设</w:t>
      </w:r>
      <w:r>
        <w:rPr>
          <w:rFonts w:hint="eastAsia" w:ascii="仿宋_GB2312" w:hAnsi="仿宋_GB2312" w:eastAsia="仿宋_GB2312" w:cs="仿宋_GB2312"/>
          <w:sz w:val="32"/>
          <w:szCs w:val="32"/>
          <w:lang w:val="zh-CN" w:eastAsia="zh-CN"/>
        </w:rPr>
        <w:t>机构、</w:t>
      </w:r>
      <w:r>
        <w:rPr>
          <w:rFonts w:hint="eastAsia" w:ascii="仿宋_GB2312" w:hAnsi="仿宋_GB2312" w:eastAsia="仿宋_GB2312" w:cs="仿宋_GB2312"/>
          <w:sz w:val="32"/>
          <w:szCs w:val="32"/>
          <w:lang w:val="en-US" w:eastAsia="zh-CN"/>
        </w:rPr>
        <w:t>1个分支机构</w:t>
      </w:r>
      <w:r>
        <w:rPr>
          <w:rFonts w:hint="eastAsia" w:ascii="仿宋_GB2312" w:hAnsi="仿宋_GB2312" w:eastAsia="仿宋_GB2312" w:cs="仿宋_GB2312"/>
          <w:sz w:val="32"/>
          <w:szCs w:val="32"/>
          <w:lang w:val="zh-CN" w:eastAsia="zh-CN"/>
        </w:rPr>
        <w:t>。七</w:t>
      </w:r>
      <w:r>
        <w:rPr>
          <w:rFonts w:hint="eastAsia" w:ascii="仿宋_GB2312" w:hAnsi="仿宋_GB2312" w:eastAsia="仿宋_GB2312" w:cs="仿宋_GB2312"/>
          <w:sz w:val="32"/>
          <w:szCs w:val="32"/>
          <w:lang w:val="en-US" w:eastAsia="zh-CN"/>
        </w:rPr>
        <w:t>个内设</w:t>
      </w:r>
      <w:r>
        <w:rPr>
          <w:rFonts w:hint="eastAsia" w:ascii="仿宋_GB2312" w:hAnsi="仿宋_GB2312" w:eastAsia="仿宋_GB2312" w:cs="仿宋_GB2312"/>
          <w:sz w:val="32"/>
          <w:szCs w:val="32"/>
          <w:lang w:val="zh-CN" w:eastAsia="zh-CN"/>
        </w:rPr>
        <w:t>机构：综合部、党群人事部、乡村振兴事务部、种植业事务部、畜牧水产事务部、农机事务部、农业生态环境监测部(水生动物疫病防控监测部)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val="zh-CN" w:eastAsia="zh-CN"/>
        </w:rPr>
        <w:t>一个分支机构市农业教育培训工作站。</w:t>
      </w:r>
    </w:p>
    <w:p>
      <w:pPr>
        <w:widowControl/>
        <w:numPr>
          <w:ilvl w:val="0"/>
          <w:numId w:val="1"/>
        </w:numPr>
        <w:ind w:left="-220" w:leftChars="0" w:firstLine="640" w:firstLineChars="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决算单位构成。</w:t>
      </w:r>
    </w:p>
    <w:p>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本单位无独立核算的下属单位，</w:t>
      </w:r>
      <w:r>
        <w:rPr>
          <w:rFonts w:hint="eastAsia" w:ascii="仿宋_GB2312" w:hAnsi="仿宋_GB2312" w:eastAsia="仿宋_GB2312" w:cs="仿宋_GB2312"/>
          <w:sz w:val="32"/>
          <w:szCs w:val="32"/>
          <w:lang w:val="en-US" w:eastAsia="zh-CN"/>
        </w:rPr>
        <w:t>2024年度部门决算汇总公开单位仅包括</w:t>
      </w:r>
      <w:r>
        <w:rPr>
          <w:rFonts w:hint="eastAsia" w:ascii="仿宋_GB2312" w:hAnsi="仿宋_GB2312" w:eastAsia="仿宋_GB2312" w:cs="仿宋_GB2312"/>
          <w:sz w:val="32"/>
          <w:szCs w:val="32"/>
          <w:lang w:eastAsia="zh-CN"/>
        </w:rPr>
        <w:t>岳阳市农业农村事务中心</w:t>
      </w:r>
      <w:r>
        <w:rPr>
          <w:rFonts w:hint="eastAsia" w:ascii="仿宋_GB2312" w:hAnsi="仿宋_GB2312" w:eastAsia="仿宋_GB2312" w:cs="仿宋_GB2312"/>
          <w:sz w:val="32"/>
          <w:szCs w:val="32"/>
          <w:lang w:val="en-US" w:eastAsia="zh-CN"/>
        </w:rPr>
        <w:t>单位本级</w:t>
      </w:r>
      <w:r>
        <w:rPr>
          <w:rFonts w:hint="eastAsia" w:ascii="仿宋_GB2312" w:hAnsi="仿宋_GB2312" w:eastAsia="仿宋_GB2312" w:cs="仿宋_GB2312"/>
          <w:sz w:val="32"/>
          <w:szCs w:val="32"/>
          <w:lang w:eastAsia="zh-CN"/>
        </w:rPr>
        <w:t>。</w:t>
      </w:r>
    </w:p>
    <w:p>
      <w:pPr>
        <w:pStyle w:val="2"/>
      </w:pPr>
    </w:p>
    <w:p>
      <w:pPr>
        <w:pStyle w:val="3"/>
      </w:pPr>
    </w:p>
    <w:p/>
    <w:p>
      <w:pPr>
        <w:pStyle w:val="2"/>
      </w:pPr>
    </w:p>
    <w:p>
      <w:pPr>
        <w:pStyle w:val="3"/>
      </w:pPr>
    </w:p>
    <w:p/>
    <w:p>
      <w:pPr>
        <w:pStyle w:val="2"/>
      </w:pPr>
    </w:p>
    <w:p>
      <w:pPr>
        <w:pStyle w:val="3"/>
      </w:pPr>
    </w:p>
    <w:p/>
    <w:p/>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tabs>
          <w:tab w:val="left" w:pos="2470"/>
        </w:tabs>
        <w:jc w:val="left"/>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ab/>
      </w: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年度收、支总计1372.44万元。与上年相比，增加</w:t>
      </w:r>
      <w:r>
        <w:rPr>
          <w:rFonts w:hint="eastAsia" w:ascii="仿宋_GB2312" w:hAnsi="仿宋_GB2312" w:eastAsia="仿宋_GB2312" w:cs="仿宋_GB2312"/>
          <w:sz w:val="32"/>
          <w:szCs w:val="32"/>
          <w:lang w:val="en-US" w:eastAsia="zh-CN"/>
        </w:rPr>
        <w:t>56.59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%，主要是因为单位通过“四海揽才”招录人才，纳入新进人员，导致收支增长。</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年度收入合计1372.44万元，其中：财政拨款收入137</w:t>
      </w:r>
      <w:r>
        <w:rPr>
          <w:rFonts w:hint="eastAsia" w:ascii="仿宋_GB2312" w:hAnsi="仿宋_GB2312" w:eastAsia="仿宋_GB2312" w:cs="仿宋_GB2312"/>
          <w:sz w:val="32"/>
          <w:szCs w:val="32"/>
          <w:lang w:val="en-US" w:eastAsia="zh-CN"/>
        </w:rPr>
        <w:t>1.68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99.94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0.76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0.06</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1372.45</w:t>
      </w:r>
      <w:r>
        <w:rPr>
          <w:rFonts w:hint="eastAsia" w:ascii="仿宋_GB2312" w:hAnsi="仿宋_GB2312" w:eastAsia="仿宋_GB2312" w:cs="仿宋_GB2312"/>
          <w:sz w:val="32"/>
          <w:szCs w:val="32"/>
        </w:rPr>
        <w:t>万元，其中：基本支出939.83万元，占</w:t>
      </w:r>
      <w:r>
        <w:rPr>
          <w:rFonts w:hint="eastAsia" w:ascii="仿宋_GB2312" w:hAnsi="仿宋_GB2312" w:eastAsia="仿宋_GB2312" w:cs="仿宋_GB2312"/>
          <w:sz w:val="32"/>
          <w:szCs w:val="32"/>
          <w:lang w:val="en-US" w:eastAsia="zh-CN"/>
        </w:rPr>
        <w:t>68.48</w:t>
      </w:r>
      <w:r>
        <w:rPr>
          <w:rFonts w:hint="eastAsia" w:ascii="仿宋_GB2312" w:hAnsi="仿宋_GB2312" w:eastAsia="仿宋_GB2312" w:cs="仿宋_GB2312"/>
          <w:sz w:val="32"/>
          <w:szCs w:val="32"/>
        </w:rPr>
        <w:t>%；项目支出432.62万元，占</w:t>
      </w:r>
      <w:r>
        <w:rPr>
          <w:rFonts w:hint="eastAsia" w:ascii="仿宋_GB2312" w:hAnsi="仿宋_GB2312" w:eastAsia="仿宋_GB2312" w:cs="仿宋_GB2312"/>
          <w:sz w:val="32"/>
          <w:szCs w:val="32"/>
          <w:lang w:val="en-US" w:eastAsia="zh-CN"/>
        </w:rPr>
        <w:t>31.52</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1371.68</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83.81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6.11</w:t>
      </w:r>
      <w:r>
        <w:rPr>
          <w:rFonts w:hint="eastAsia" w:ascii="仿宋_GB2312" w:hAnsi="仿宋_GB2312" w:eastAsia="仿宋_GB2312" w:cs="仿宋_GB2312"/>
          <w:sz w:val="32"/>
          <w:szCs w:val="32"/>
        </w:rPr>
        <w:t>%，主要是因为单位通过“四海揽才”招录人才，纳入新进人员，导致收支增长。</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widowControl w:val="0"/>
        <w:autoSpaceDE w:val="0"/>
        <w:autoSpaceDN w:val="0"/>
        <w:adjustRightInd w:val="0"/>
        <w:ind w:firstLine="640" w:firstLineChars="200"/>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1371.68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99.94</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83.81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6.1</w:t>
      </w:r>
      <w:r>
        <w:rPr>
          <w:rFonts w:hint="eastAsia" w:ascii="仿宋_GB2312" w:hAnsi="仿宋_GB2312" w:eastAsia="仿宋_GB2312" w:cs="仿宋_GB2312"/>
          <w:sz w:val="32"/>
          <w:szCs w:val="32"/>
        </w:rPr>
        <w:t>%，主要是因为单位通过“四海揽才”招录人才，纳入新进人员，导致收支增长。</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1371.68</w:t>
      </w:r>
      <w:r>
        <w:rPr>
          <w:rFonts w:hint="eastAsia" w:ascii="仿宋_GB2312" w:hAnsi="仿宋_GB2312" w:eastAsia="仿宋_GB2312" w:cs="仿宋_GB2312"/>
          <w:sz w:val="32"/>
          <w:szCs w:val="32"/>
        </w:rPr>
        <w:t>万元，主要用于以下方面：社会保障和就业（类）支出81.03万元，占</w:t>
      </w:r>
      <w:r>
        <w:rPr>
          <w:rFonts w:hint="eastAsia" w:ascii="仿宋_GB2312" w:hAnsi="仿宋_GB2312" w:eastAsia="仿宋_GB2312" w:cs="仿宋_GB2312"/>
          <w:sz w:val="32"/>
          <w:szCs w:val="32"/>
          <w:lang w:val="en-US" w:eastAsia="zh-CN"/>
        </w:rPr>
        <w:t>5.90</w:t>
      </w:r>
      <w:r>
        <w:rPr>
          <w:rFonts w:hint="eastAsia" w:ascii="仿宋_GB2312" w:hAnsi="仿宋_GB2312" w:eastAsia="仿宋_GB2312" w:cs="仿宋_GB2312"/>
          <w:sz w:val="32"/>
          <w:szCs w:val="32"/>
        </w:rPr>
        <w:t>%；卫生健康（类）支出49.24万元，占</w:t>
      </w:r>
      <w:r>
        <w:rPr>
          <w:rFonts w:hint="eastAsia" w:ascii="仿宋_GB2312" w:hAnsi="仿宋_GB2312" w:eastAsia="仿宋_GB2312" w:cs="仿宋_GB2312"/>
          <w:sz w:val="32"/>
          <w:szCs w:val="32"/>
          <w:lang w:val="en-US" w:eastAsia="zh-CN"/>
        </w:rPr>
        <w:t>3.59</w:t>
      </w:r>
      <w:r>
        <w:rPr>
          <w:rFonts w:hint="eastAsia" w:ascii="仿宋_GB2312" w:hAnsi="仿宋_GB2312" w:eastAsia="仿宋_GB2312" w:cs="仿宋_GB2312"/>
          <w:sz w:val="32"/>
          <w:szCs w:val="32"/>
        </w:rPr>
        <w:t>%;农林水（类）支出1187.25万元，占</w:t>
      </w:r>
      <w:r>
        <w:rPr>
          <w:rFonts w:hint="eastAsia" w:ascii="仿宋_GB2312" w:hAnsi="仿宋_GB2312" w:eastAsia="仿宋_GB2312" w:cs="仿宋_GB2312"/>
          <w:sz w:val="32"/>
          <w:szCs w:val="32"/>
          <w:lang w:val="en-US" w:eastAsia="zh-CN"/>
        </w:rPr>
        <w:t>86.55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54.17</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3.94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4"/>
        <w:keepNext w:val="0"/>
        <w:keepLines w:val="0"/>
        <w:pageBreakBefore w:val="0"/>
        <w:widowControl w:val="0"/>
        <w:numPr>
          <w:ilvl w:val="0"/>
          <w:numId w:val="1"/>
        </w:numPr>
        <w:kinsoku/>
        <w:wordWrap/>
        <w:overflowPunct/>
        <w:topLinePunct w:val="0"/>
        <w:bidi w:val="0"/>
        <w:snapToGrid/>
        <w:spacing w:line="600" w:lineRule="exact"/>
        <w:ind w:left="-220" w:leftChars="0" w:firstLine="640" w:firstLineChars="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72.52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74.54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highlight w:val="none"/>
        </w:rPr>
        <w:t>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eastAsia="zh-CN"/>
        </w:rPr>
        <w:t>招录新人，导致支出增大</w:t>
      </w:r>
      <w:r>
        <w:rPr>
          <w:rFonts w:hint="eastAsia" w:ascii="仿宋_GB2312" w:hAnsi="仿宋_GB2312" w:eastAsia="仿宋_GB2312" w:cs="仿宋_GB2312"/>
          <w:sz w:val="32"/>
          <w:szCs w:val="32"/>
          <w:highlight w:val="none"/>
        </w:rPr>
        <w:t>，导致决算数</w:t>
      </w:r>
      <w:r>
        <w:rPr>
          <w:rFonts w:hint="eastAsia" w:ascii="仿宋_GB2312" w:hAnsi="仿宋_GB2312" w:eastAsia="仿宋_GB2312" w:cs="仿宋_GB2312"/>
          <w:sz w:val="32"/>
          <w:szCs w:val="32"/>
          <w:highlight w:val="none"/>
          <w:lang w:eastAsia="zh-CN"/>
        </w:rPr>
        <w:t>大</w:t>
      </w:r>
      <w:r>
        <w:rPr>
          <w:rFonts w:hint="eastAsia" w:ascii="仿宋_GB2312" w:hAnsi="仿宋_GB2312" w:eastAsia="仿宋_GB2312" w:cs="仿宋_GB2312"/>
          <w:sz w:val="32"/>
          <w:szCs w:val="32"/>
          <w:highlight w:val="none"/>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2、社会保障和就业支出（类）残疾人事业（款）其他残疾人事业支出（项）。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5.04</w:t>
      </w:r>
      <w:r>
        <w:rPr>
          <w:rFonts w:hint="eastAsia" w:ascii="仿宋_GB2312" w:hAnsi="仿宋_GB2312" w:eastAsia="仿宋_GB2312" w:cs="仿宋_GB2312"/>
          <w:sz w:val="32"/>
          <w:szCs w:val="32"/>
        </w:rPr>
        <w:t>万元，支出决算</w:t>
      </w: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val="en-US" w:eastAsia="zh-CN"/>
        </w:rPr>
        <w:t>5.04</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于年初预算数的主要原因是：在202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eastAsia="zh-CN"/>
        </w:rPr>
        <w:t>单位开支严格按预算支出，</w:t>
      </w:r>
      <w:r>
        <w:rPr>
          <w:rFonts w:hint="eastAsia" w:ascii="仿宋_GB2312" w:hAnsi="仿宋_GB2312" w:eastAsia="仿宋_GB2312" w:cs="仿宋_GB2312"/>
          <w:sz w:val="32"/>
          <w:szCs w:val="32"/>
          <w:highlight w:val="none"/>
        </w:rPr>
        <w:t>导致决算数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社会保障和就业支出（类）其他社会保障和就业支出（款）其他社会保障和就业支出（项）</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100.11</w:t>
      </w:r>
      <w:r>
        <w:rPr>
          <w:rFonts w:hint="eastAsia" w:ascii="仿宋_GB2312" w:hAnsi="仿宋_GB2312" w:eastAsia="仿宋_GB2312" w:cs="仿宋_GB2312"/>
          <w:sz w:val="32"/>
          <w:szCs w:val="32"/>
        </w:rPr>
        <w:t>%，决算数大于年初预算数的主要原因是：在202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单位招录新人，其他社会保障费增大，</w:t>
      </w:r>
      <w:r>
        <w:rPr>
          <w:rFonts w:hint="eastAsia" w:ascii="仿宋_GB2312" w:hAnsi="仿宋_GB2312" w:eastAsia="仿宋_GB2312" w:cs="仿宋_GB2312"/>
          <w:sz w:val="32"/>
          <w:szCs w:val="32"/>
        </w:rPr>
        <w:t>导致决算数大于年初预算数。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4、卫生健康支出（类）行政事业单位医疗（款）行政单位医疗（项）。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年初预算为0万元，支出决算为0.80万元，决算数大于年初预算数的主要原因是：在2024年，</w:t>
      </w:r>
      <w:r>
        <w:rPr>
          <w:rFonts w:hint="eastAsia" w:ascii="仿宋_GB2312" w:hAnsi="仿宋_GB2312" w:eastAsia="仿宋_GB2312" w:cs="仿宋_GB2312"/>
          <w:sz w:val="32"/>
          <w:szCs w:val="32"/>
          <w:lang w:eastAsia="zh-CN"/>
        </w:rPr>
        <w:t>指标调整</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5、卫生健康支出（类）行政事业单位医疗（款）事业单位医疗（项）。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47.81万元，支出决算为47.81万元，完成年初预算的100%，决算数大于年初预算数的主要原因是：完成年初预算的100%，决算数等于年初预算数的主要原因是：在2024年，严格按照年初预算进行开支，导致决算数等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6、卫生健康支出（类）行政事业单位医疗（款）公务员医疗补助（项）。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年初预算为0万元，支出决算为0.63万元，决算数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指标调整</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7、农林水支出（类）农业农村（款）事业运行（项）。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627.31</w:t>
      </w:r>
      <w:r>
        <w:rPr>
          <w:rFonts w:hint="eastAsia" w:ascii="仿宋_GB2312" w:hAnsi="仿宋_GB2312" w:eastAsia="仿宋_GB2312" w:cs="仿宋_GB2312"/>
          <w:sz w:val="32"/>
          <w:szCs w:val="32"/>
        </w:rPr>
        <w:t>万元，支出决算为639.50万元，完成年初预算的</w:t>
      </w:r>
      <w:r>
        <w:rPr>
          <w:rFonts w:hint="eastAsia" w:ascii="仿宋_GB2312" w:hAnsi="仿宋_GB2312" w:eastAsia="仿宋_GB2312" w:cs="仿宋_GB2312"/>
          <w:sz w:val="32"/>
          <w:szCs w:val="32"/>
          <w:lang w:val="en-US" w:eastAsia="zh-CN"/>
        </w:rPr>
        <w:t>100.02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于年初预算数的主要原因是：在2024年，由于将项目进行细化分类，款项之间进行调整，导致决算数大于年初预算数。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8、农林水支出（类）农业农村（款）科技转化与推广服务（项）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元，支出决算为38.93万元，决算数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9、农林水支出（类）农业农村（款）病虫害控制（项）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元，支出决算为10.00万元，决算数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10、农林水支出（类）农业农村（款）农产品质量安全（项）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万元，支出决算为7.31元，决算数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11、农林水支出（类）农业农村（款）农业结构调整补贴（项）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万元，支出决算为3.00元，决算数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12、农林水支出（类）农业农村（款）农业生产发展（项）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万元，支出决算为41.71万元，决算数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13、农林水支出（类）农业农村（款）农村合作经济（项）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万元，支出决算为1.57万元，决算数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14、农林水支出（类）农业农村（款）农业资源保护修复与利用（项）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万元，支出决算为1.16万元，决算数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15、农林水支出（类）农业农村（款）其他农业农村支出（项）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万元，支出决算为361.91万元，决算数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16、农林水支出（类）林业和草原（款）其他林业和草原支出（项）。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万元，支出决算为45.71万元，决算数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17、农林水支出（类）巩固脱贫攻坚成果衔接乡村振兴（款）行政运行（项）。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万元，支出决算为16.45万元，决算数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18、农林水支出（类）巩固脱贫攻坚成果衔接乡村振兴（款）其他巩固脱贫攻坚成果衔接乡村振兴支出（项）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年中追加项目</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19、住房保障支出（类）住房改革支出（款）住房公积金（项）。</w:t>
      </w:r>
    </w:p>
    <w:p>
      <w:pPr>
        <w:widowControl w:val="0"/>
        <w:autoSpaceDE w:val="0"/>
        <w:autoSpaceDN w:val="0"/>
        <w:adjustRightInd w:val="0"/>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万元，支出决算为54.17万元，完成年初预算的100</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于年初预算数的主要原因是：在2024年，</w:t>
      </w:r>
      <w:r>
        <w:rPr>
          <w:rFonts w:hint="eastAsia" w:ascii="仿宋_GB2312" w:hAnsi="仿宋_GB2312" w:eastAsia="仿宋_GB2312" w:cs="仿宋_GB2312"/>
          <w:sz w:val="32"/>
          <w:szCs w:val="32"/>
          <w:lang w:eastAsia="zh-CN"/>
        </w:rPr>
        <w:t>招录新人导致支出增大</w:t>
      </w:r>
      <w:r>
        <w:rPr>
          <w:rFonts w:hint="eastAsia" w:ascii="仿宋_GB2312" w:hAnsi="仿宋_GB2312" w:eastAsia="仿宋_GB2312" w:cs="仿宋_GB2312"/>
          <w:sz w:val="32"/>
          <w:szCs w:val="32"/>
        </w:rPr>
        <w:t>，导致决算数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939.07</w:t>
      </w:r>
      <w:r>
        <w:rPr>
          <w:rFonts w:hint="eastAsia" w:ascii="仿宋_GB2312" w:hAnsi="仿宋_GB2312" w:eastAsia="仿宋_GB2312" w:cs="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868.06</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92.44</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基本工资、津贴补贴、奖金、伙食补助费、绩效工资、机关事业单位基本养老保险缴费、职工基本医疗保险缴费、其他社会保障缴费、住房公积金、退休费、医疗费补助、其他对个人和家庭的补助。</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71.01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7.56</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sz w:val="32"/>
          <w:szCs w:val="32"/>
        </w:rPr>
        <w:t xml:space="preserve"> 2024年度政府性基金预算财政拨款收入0万元；年初结转和结余0万元；支出0万元，其中基本支出0万元，项目支出0万元；年末结转和结余0万元。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4"/>
        <w:overflowPunct w:val="0"/>
        <w:autoSpaceDE/>
        <w:autoSpaceDN/>
        <w:spacing w:line="600" w:lineRule="exact"/>
        <w:ind w:firstLine="640" w:firstLineChars="200"/>
        <w:jc w:val="both"/>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2024年度“三公”经费财政拨款支出预算为2万元，支出决算为0.59万元，完成预算的29.5%；与上年相比减少0.02万元，降低3.28%。决算数小于预算数的主要原因是严格执行中央八项规定。</w:t>
      </w:r>
    </w:p>
    <w:p>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因公出国（境）费支出预算为0万元，支出决算为0万元，决算数等于预算数，主要原因是我单位严格按预算执行决算；与上年一致，无增减变动，主要原因是未安排因公出国（境）活动。2024年度安排因公出国（境）团组0个，累计0人次。</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公务用车购置费及运行维护费支出预算为0万元，支出决算为0万元，决算数等于预算数；与上年一致，无增减变动。其中：</w:t>
      </w:r>
    </w:p>
    <w:p>
      <w:pPr>
        <w:pStyle w:val="14"/>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公务用车购置费支出预算为0万元，支出决算为0万元，决算数等于预算数，主要原因是我单位严格按预算执行决算；与上年一致，无增减变动，主要原因是两年均未购置公务用车。本单位更新公务用车0辆。</w:t>
      </w:r>
    </w:p>
    <w:p>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公务用车运行维护费支出预算为0万元，支出决算为0万元，决算数等于预算数，主要原因是我单位严格按预算执行决算；与上年一致，无增减变动，主要原因是两年均无公务用车需要运行维护。 截止到2024年12月31日，我单位开支财政拨款的公务用车保有量为0辆。 </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color w:val="000000"/>
          <w:kern w:val="0"/>
          <w:sz w:val="32"/>
          <w:szCs w:val="32"/>
          <w:lang w:val="en-US" w:eastAsia="zh-CN" w:bidi="ar-SA"/>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0.59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29.5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0.02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3.28</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严格执行中央八项规定</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严格执行中央八项规定</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32</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eastAsia="zh-CN"/>
        </w:rPr>
        <w:t>项目工作对接</w:t>
      </w:r>
      <w:r>
        <w:rPr>
          <w:rFonts w:ascii="Times New Roman" w:hAnsi="Times New Roman" w:eastAsia="仿宋_GB2312" w:cs="Times New Roman"/>
          <w:sz w:val="32"/>
          <w:szCs w:val="32"/>
        </w:rPr>
        <w:t>发生的接待支出。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本级和所属单位均为事业单位，按照机关运行经费的口径，本年度机关运行经费为0。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sz w:val="32"/>
          <w:szCs w:val="32"/>
        </w:rPr>
        <w:t>本单位无会议费的预算和支出决算数；本单位无培训费的预算和支出决算数；本单位无举办节庆、晚会、论坛、赛事等活动的预算和支出决算数。</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109.7</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150.3</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42.19</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57.81</w:t>
      </w:r>
      <w:r>
        <w:rPr>
          <w:rFonts w:hint="eastAsia" w:ascii="仿宋_GB2312" w:hAnsi="仿宋_GB2312" w:eastAsia="仿宋_GB2312" w:cs="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2024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15</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1.09</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p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lang w:val="en-US" w:eastAsia="zh-CN"/>
        </w:rPr>
        <w:t>本单位为二级预算单位，部门评价开展情况可详见上级部门决算公开说明。</w:t>
      </w:r>
    </w:p>
    <w:p>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kern w:val="0"/>
          <w:sz w:val="32"/>
          <w:szCs w:val="32"/>
          <w:lang w:val="en-US" w:eastAsia="zh-CN"/>
        </w:rPr>
        <w:t>本单位为二级预算单位，事前绩效评估开展情况可详见上级部门决算公开说明。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806.24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1372.44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170.23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98.6</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w:t>
      </w:r>
      <w:r>
        <w:rPr>
          <w:rFonts w:hint="eastAsia" w:ascii="仿宋_GB2312" w:hAnsi="仿宋_GB2312" w:eastAsia="仿宋_GB2312" w:cs="仿宋_GB2312"/>
          <w:b w:val="0"/>
          <w:bCs w:val="0"/>
          <w:color w:val="000000"/>
          <w:kern w:val="0"/>
          <w:sz w:val="32"/>
          <w:szCs w:val="32"/>
          <w:lang w:val="en-US" w:eastAsia="zh-CN" w:bidi="ar-SA"/>
        </w:rPr>
        <w:t>绩效目标完成情况：</w:t>
      </w:r>
      <w:bookmarkStart w:id="0" w:name="OLE_LINK17"/>
      <w:bookmarkStart w:id="1" w:name="OLE_LINK16"/>
      <w:r>
        <w:rPr>
          <w:rFonts w:hint="eastAsia" w:ascii="仿宋_GB2312" w:hAnsi="仿宋_GB2312" w:eastAsia="仿宋_GB2312" w:cs="仿宋_GB2312"/>
          <w:b w:val="0"/>
          <w:bCs w:val="0"/>
          <w:sz w:val="32"/>
          <w:szCs w:val="32"/>
          <w:lang w:val="en-US" w:eastAsia="zh-CN"/>
        </w:rPr>
        <w:t>一是根据年初设定目标，严格按标准实施，完成绩效目标；二是按绩效目标管理要求，严格设定绩效目标可行性，按要求完成绩效目标。</w:t>
      </w:r>
      <w:bookmarkEnd w:id="0"/>
      <w:bookmarkEnd w:id="1"/>
      <w:r>
        <w:rPr>
          <w:rFonts w:hint="eastAsia" w:ascii="仿宋_GB2312" w:hAnsi="仿宋_GB2312" w:eastAsia="仿宋_GB2312" w:cs="仿宋_GB2312"/>
          <w:b w:val="0"/>
          <w:bCs w:val="0"/>
          <w:sz w:val="32"/>
          <w:szCs w:val="32"/>
          <w:lang w:val="en-US" w:eastAsia="zh-CN"/>
        </w:rPr>
        <w:t>发现的主要问题及原因：一是存在项目目标设定过于理想化，有些指标达不到设定要求；下一步改进措施：一是结合实际要求设定绩效目标管理，进一步优化管理要求，使单位绩效目标合理化、精细化，达到绩效目标管理要求。</w:t>
      </w:r>
    </w:p>
    <w:p>
      <w:p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lang w:val="en-US" w:eastAsia="zh-CN"/>
        </w:rPr>
        <w:t>本单位为二级预算单位，部门评价结果可详见上级部门决算公开说明。</w:t>
      </w:r>
    </w:p>
    <w:p>
      <w:pPr>
        <w:overflowPunct w:val="0"/>
        <w:spacing w:line="600" w:lineRule="exact"/>
        <w:ind w:firstLine="640" w:firstLineChars="200"/>
        <w:rPr>
          <w:rFonts w:hint="eastAsia"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lang w:val="en-US" w:eastAsia="zh-CN"/>
        </w:rPr>
        <w:t>本单位为二级预算单位，事前绩效评估结果可详见上级部门决算公开说明。</w:t>
      </w:r>
    </w:p>
    <w:p>
      <w:pPr>
        <w:pStyle w:val="2"/>
        <w:rPr>
          <w:rFonts w:hint="eastAsia"/>
        </w:rPr>
      </w:pPr>
    </w:p>
    <w:p>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请根据2024年度绩效自评结果、部门评价结果、</w:t>
      </w:r>
      <w:r>
        <w:rPr>
          <w:rFonts w:hint="eastAsia" w:ascii="Times New Roman" w:hAnsi="Times New Roman" w:eastAsia="仿宋_GB2312" w:cs="Times New Roman"/>
          <w:color w:val="auto"/>
          <w:sz w:val="32"/>
          <w:szCs w:val="32"/>
          <w:highlight w:val="none"/>
          <w:lang w:eastAsia="zh-CN"/>
        </w:rPr>
        <w:t>事前绩效</w:t>
      </w:r>
      <w:r>
        <w:rPr>
          <w:rFonts w:ascii="Times New Roman" w:hAnsi="Times New Roman" w:eastAsia="仿宋_GB2312" w:cs="Times New Roman"/>
          <w:color w:val="auto"/>
          <w:sz w:val="32"/>
          <w:szCs w:val="32"/>
          <w:highlight w:val="none"/>
        </w:rPr>
        <w:t>评价结果对本部门2025年度预算安排，支出结构调整，资金管理，制度建设等方面结果运用进行简要说明。</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pStyle w:val="3"/>
      </w:pPr>
    </w:p>
    <w:p/>
    <w:p>
      <w:pPr>
        <w:pStyle w:val="2"/>
      </w:pPr>
    </w:p>
    <w:p>
      <w:pPr>
        <w:pStyle w:val="3"/>
      </w:pPr>
    </w:p>
    <w:p/>
    <w:p>
      <w:pPr>
        <w:pStyle w:val="2"/>
      </w:pPr>
    </w:p>
    <w:p>
      <w:pPr>
        <w:pStyle w:val="3"/>
      </w:pPr>
    </w:p>
    <w:p/>
    <w:p>
      <w:pPr>
        <w:pStyle w:val="2"/>
      </w:pPr>
    </w:p>
    <w:p>
      <w:pPr>
        <w:pStyle w:val="3"/>
      </w:pPr>
    </w:p>
    <w:p/>
    <w:p>
      <w:pPr>
        <w:pStyle w:val="14"/>
        <w:jc w:val="center"/>
        <w:rPr>
          <w:rFonts w:hint="eastAsia" w:ascii="方正小标宋_GBK" w:hAnsi="方正小标宋_GBK" w:eastAsia="方正小标宋_GBK" w:cs="方正小标宋_GBK"/>
          <w:sz w:val="70"/>
          <w:szCs w:val="70"/>
        </w:rPr>
      </w:pPr>
      <w:bookmarkStart w:id="2" w:name="_GoBack"/>
      <w:bookmarkEnd w:id="2"/>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both"/>
        <w:rPr>
          <w:rFonts w:hint="eastAsia" w:ascii="方正小标宋_GBK" w:hAnsi="方正小标宋_GBK" w:eastAsia="方正小标宋_GBK" w:cs="方正小标宋_GBK"/>
          <w:sz w:val="70"/>
          <w:szCs w:val="70"/>
          <w:lang w:eastAsia="zh-CN"/>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08280"/>
    <w:multiLevelType w:val="singleLevel"/>
    <w:tmpl w:val="87308280"/>
    <w:lvl w:ilvl="0" w:tentative="0">
      <w:start w:val="3"/>
      <w:numFmt w:val="decimal"/>
      <w:suff w:val="nothing"/>
      <w:lvlText w:val="%1、"/>
      <w:lvlJc w:val="left"/>
    </w:lvl>
  </w:abstractNum>
  <w:abstractNum w:abstractNumId="1">
    <w:nsid w:val="8EDECFD4"/>
    <w:multiLevelType w:val="singleLevel"/>
    <w:tmpl w:val="8EDECFD4"/>
    <w:lvl w:ilvl="0" w:tentative="0">
      <w:start w:val="3"/>
      <w:numFmt w:val="chineseCounting"/>
      <w:suff w:val="nothing"/>
      <w:lvlText w:val="（%1）"/>
      <w:lvlJc w:val="left"/>
      <w:rPr>
        <w:rFonts w:hint="eastAsia"/>
      </w:rPr>
    </w:lvl>
  </w:abstractNum>
  <w:abstractNum w:abstractNumId="2">
    <w:nsid w:val="71EE3F29"/>
    <w:multiLevelType w:val="singleLevel"/>
    <w:tmpl w:val="71EE3F29"/>
    <w:lvl w:ilvl="0" w:tentative="0">
      <w:start w:val="2"/>
      <w:numFmt w:val="chineseCounting"/>
      <w:suff w:val="nothing"/>
      <w:lvlText w:val="（%1）"/>
      <w:lvlJc w:val="left"/>
      <w:pPr>
        <w:ind w:left="-2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423F24"/>
    <w:rsid w:val="04EA6DAD"/>
    <w:rsid w:val="059958AD"/>
    <w:rsid w:val="06C857E7"/>
    <w:rsid w:val="08C24A73"/>
    <w:rsid w:val="08CE42EF"/>
    <w:rsid w:val="099F5C8C"/>
    <w:rsid w:val="0A7D3671"/>
    <w:rsid w:val="11944E2C"/>
    <w:rsid w:val="12583BA5"/>
    <w:rsid w:val="13417928"/>
    <w:rsid w:val="13BA5B9C"/>
    <w:rsid w:val="1715758D"/>
    <w:rsid w:val="18D203E7"/>
    <w:rsid w:val="191A70DD"/>
    <w:rsid w:val="1AC45552"/>
    <w:rsid w:val="1D97DEFF"/>
    <w:rsid w:val="1DFF72E5"/>
    <w:rsid w:val="1E4F0584"/>
    <w:rsid w:val="1EFC6F07"/>
    <w:rsid w:val="1F0527A6"/>
    <w:rsid w:val="22AC03C2"/>
    <w:rsid w:val="257A33DD"/>
    <w:rsid w:val="262519D5"/>
    <w:rsid w:val="283B15FE"/>
    <w:rsid w:val="285E0D94"/>
    <w:rsid w:val="28793E20"/>
    <w:rsid w:val="29D91401"/>
    <w:rsid w:val="2DA76D39"/>
    <w:rsid w:val="2FDF85B8"/>
    <w:rsid w:val="2FFFEE04"/>
    <w:rsid w:val="31C95635"/>
    <w:rsid w:val="34DF85B0"/>
    <w:rsid w:val="34FA1E45"/>
    <w:rsid w:val="370276D6"/>
    <w:rsid w:val="3AF630AE"/>
    <w:rsid w:val="3B245E6D"/>
    <w:rsid w:val="3B8F36BC"/>
    <w:rsid w:val="3F696545"/>
    <w:rsid w:val="406960D0"/>
    <w:rsid w:val="43AD2778"/>
    <w:rsid w:val="43EB5BA5"/>
    <w:rsid w:val="44937BC0"/>
    <w:rsid w:val="44D81A76"/>
    <w:rsid w:val="46340F2E"/>
    <w:rsid w:val="479E2B03"/>
    <w:rsid w:val="491FF225"/>
    <w:rsid w:val="49885819"/>
    <w:rsid w:val="4B1355B6"/>
    <w:rsid w:val="4C83676C"/>
    <w:rsid w:val="4EC310A1"/>
    <w:rsid w:val="4FFD214C"/>
    <w:rsid w:val="51226553"/>
    <w:rsid w:val="5352765A"/>
    <w:rsid w:val="55F304BE"/>
    <w:rsid w:val="5777D4F5"/>
    <w:rsid w:val="57F22B6F"/>
    <w:rsid w:val="5812561E"/>
    <w:rsid w:val="59DD8326"/>
    <w:rsid w:val="5DEF592A"/>
    <w:rsid w:val="5E224037"/>
    <w:rsid w:val="5FC6BB1E"/>
    <w:rsid w:val="5FF13CC0"/>
    <w:rsid w:val="5FF720F1"/>
    <w:rsid w:val="604C7149"/>
    <w:rsid w:val="619568CD"/>
    <w:rsid w:val="622964C1"/>
    <w:rsid w:val="646C0327"/>
    <w:rsid w:val="67FF5C0B"/>
    <w:rsid w:val="6BAA4A2F"/>
    <w:rsid w:val="6BFA3EFD"/>
    <w:rsid w:val="6DDEC5C0"/>
    <w:rsid w:val="6E4C47B8"/>
    <w:rsid w:val="6EFC0924"/>
    <w:rsid w:val="6FB74722"/>
    <w:rsid w:val="6FEF8B7E"/>
    <w:rsid w:val="717FE77F"/>
    <w:rsid w:val="71A6591B"/>
    <w:rsid w:val="737D59BA"/>
    <w:rsid w:val="737F32B1"/>
    <w:rsid w:val="73BD3FCA"/>
    <w:rsid w:val="75CB4B5C"/>
    <w:rsid w:val="776BDA01"/>
    <w:rsid w:val="77C37683"/>
    <w:rsid w:val="79FF515B"/>
    <w:rsid w:val="7A4D1FE3"/>
    <w:rsid w:val="7D1E37C3"/>
    <w:rsid w:val="7DFBFF20"/>
    <w:rsid w:val="7E33329E"/>
    <w:rsid w:val="7E723DC7"/>
    <w:rsid w:val="7E9E1962"/>
    <w:rsid w:val="7E9F11B4"/>
    <w:rsid w:val="7F37EC1E"/>
    <w:rsid w:val="7F402117"/>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1"/>
    <w:qFormat/>
    <w:uiPriority w:val="0"/>
    <w:rPr>
      <w:rFonts w:ascii="仿宋" w:hAnsi="仿宋" w:eastAsia="仿宋" w:cs="仿宋"/>
      <w:sz w:val="28"/>
      <w:szCs w:val="28"/>
      <w:lang w:val="zh-CN" w:bidi="zh-CN"/>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w:basedOn w:val="5"/>
    <w:qFormat/>
    <w:uiPriority w:val="0"/>
    <w:pPr>
      <w:spacing w:line="500" w:lineRule="exact"/>
      <w:ind w:firstLine="420"/>
    </w:pPr>
    <w:rPr>
      <w:rFonts w:ascii="Calibri" w:hAnsi="Calibri" w:eastAsia="宋体" w:cs="Times New Roman"/>
      <w:szCs w:val="20"/>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4183</Words>
  <Characters>4585</Characters>
  <Lines>63</Lines>
  <Paragraphs>18</Paragraphs>
  <TotalTime>32</TotalTime>
  <ScaleCrop>false</ScaleCrop>
  <LinksUpToDate>false</LinksUpToDate>
  <CharactersWithSpaces>4597</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Administrator</cp:lastModifiedBy>
  <cp:lastPrinted>2024-08-11T02:20:00Z</cp:lastPrinted>
  <dcterms:modified xsi:type="dcterms:W3CDTF">2025-09-25T03:02:12Z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2D21AD4C4A4140B892EA8A106FFEB743</vt:lpwstr>
  </property>
  <property fmtid="{D5CDD505-2E9C-101B-9397-08002B2CF9AE}" pid="4" name="KSOTemplateDocerSaveRecord">
    <vt:lpwstr>eyJoZGlkIjoiODZjZmQ1YzRmN2ZjNTFhNjhiZDJjMDI3YzgzMmRiZjMiLCJ1c2VySWQiOiIxNDgxMDAxMjQzIn0=</vt:lpwstr>
  </property>
</Properties>
</file>