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42D26C">
      <w:pPr>
        <w:spacing w:before="156" w:beforeLines="50" w:after="156" w:afterLines="50" w:line="560" w:lineRule="exact"/>
        <w:ind w:left="1566" w:hanging="1566" w:hangingChars="300"/>
        <w:rPr>
          <w:rFonts w:hint="default" w:ascii="宋体" w:hAnsi="宋体" w:eastAsia="宋体" w:cs="Times New Roman"/>
          <w:sz w:val="32"/>
          <w:szCs w:val="24"/>
          <w:lang w:val="zh-CN" w:eastAsia="zh-CN" w:bidi="ar"/>
        </w:rPr>
      </w:pPr>
      <w:r>
        <w:rPr>
          <w:rFonts w:hint="default" w:ascii="宋体" w:hAnsi="宋体" w:eastAsia="宋体" w:cs="Times New Roman"/>
          <w:b/>
          <w:bCs/>
          <w:kern w:val="2"/>
          <w:sz w:val="52"/>
          <w:szCs w:val="44"/>
          <w:lang w:val="zh-CN"/>
        </w:rPr>
        <w:t>202</w:t>
      </w:r>
      <w:r>
        <w:rPr>
          <w:rFonts w:hint="eastAsia" w:ascii="宋体" w:hAnsi="宋体" w:eastAsia="宋体" w:cs="Times New Roman"/>
          <w:b/>
          <w:bCs/>
          <w:kern w:val="2"/>
          <w:sz w:val="52"/>
          <w:szCs w:val="44"/>
          <w:lang w:val="en-US" w:eastAsia="zh-CN"/>
        </w:rPr>
        <w:t>4</w:t>
      </w:r>
      <w:r>
        <w:rPr>
          <w:rFonts w:hint="default" w:ascii="宋体" w:hAnsi="宋体" w:eastAsia="宋体" w:cs="Times New Roman"/>
          <w:b/>
          <w:bCs/>
          <w:kern w:val="2"/>
          <w:sz w:val="52"/>
          <w:szCs w:val="44"/>
          <w:lang w:val="zh-CN"/>
        </w:rPr>
        <w:t>年度岳阳市农业</w:t>
      </w:r>
      <w:r>
        <w:rPr>
          <w:rFonts w:hint="eastAsia" w:ascii="宋体" w:hAnsi="宋体" w:eastAsia="宋体" w:cs="Times New Roman"/>
          <w:b/>
          <w:bCs/>
          <w:kern w:val="2"/>
          <w:sz w:val="52"/>
          <w:szCs w:val="44"/>
          <w:lang w:val="zh-CN"/>
        </w:rPr>
        <w:t>农村事务中</w:t>
      </w:r>
      <w:r>
        <w:rPr>
          <w:rFonts w:hint="eastAsia" w:ascii="宋体" w:hAnsi="宋体" w:eastAsia="宋体" w:cs="Times New Roman"/>
          <w:b/>
          <w:bCs/>
          <w:kern w:val="2"/>
          <w:sz w:val="52"/>
          <w:szCs w:val="44"/>
          <w:lang w:val="zh-CN" w:eastAsia="zh-CN"/>
        </w:rPr>
        <w:t>心</w:t>
      </w:r>
      <w:r>
        <w:rPr>
          <w:rFonts w:hint="default" w:ascii="宋体" w:hAnsi="宋体" w:eastAsia="宋体" w:cs="Times New Roman"/>
          <w:b/>
          <w:bCs/>
          <w:kern w:val="2"/>
          <w:sz w:val="52"/>
          <w:szCs w:val="44"/>
          <w:lang w:val="zh-CN" w:eastAsia="zh-CN"/>
        </w:rPr>
        <w:t>整体支出绩效</w:t>
      </w:r>
      <w:r>
        <w:rPr>
          <w:rFonts w:hint="eastAsia" w:ascii="宋体" w:hAnsi="宋体" w:eastAsia="宋体" w:cs="Times New Roman"/>
          <w:b/>
          <w:bCs/>
          <w:kern w:val="2"/>
          <w:sz w:val="52"/>
          <w:szCs w:val="44"/>
          <w:lang w:val="zh-CN" w:eastAsia="zh-CN"/>
        </w:rPr>
        <w:t>评价</w:t>
      </w:r>
      <w:r>
        <w:rPr>
          <w:rFonts w:hint="default" w:ascii="宋体" w:hAnsi="宋体" w:eastAsia="宋体" w:cs="Times New Roman"/>
          <w:b/>
          <w:bCs/>
          <w:kern w:val="2"/>
          <w:sz w:val="52"/>
          <w:szCs w:val="44"/>
          <w:lang w:val="zh-CN" w:eastAsia="zh-CN"/>
        </w:rPr>
        <w:t>报告</w:t>
      </w:r>
    </w:p>
    <w:p w14:paraId="488DD98B">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default" w:ascii="宋体" w:hAnsi="宋体" w:eastAsia="宋体" w:cs="Times New Roman"/>
          <w:sz w:val="32"/>
          <w:szCs w:val="24"/>
          <w:lang w:val="zh-CN" w:eastAsia="zh-CN" w:bidi="ar"/>
        </w:rPr>
        <w:t>根据要求，我</w:t>
      </w:r>
      <w:r>
        <w:rPr>
          <w:rFonts w:hint="eastAsia" w:ascii="宋体" w:hAnsi="宋体" w:eastAsia="宋体" w:cs="Times New Roman"/>
          <w:sz w:val="32"/>
          <w:szCs w:val="24"/>
          <w:lang w:val="zh-CN" w:eastAsia="zh-CN" w:bidi="ar"/>
        </w:rPr>
        <w:t>中心</w:t>
      </w:r>
      <w:r>
        <w:rPr>
          <w:rFonts w:hint="default" w:ascii="宋体" w:hAnsi="宋体" w:eastAsia="宋体" w:cs="Times New Roman"/>
          <w:sz w:val="32"/>
          <w:szCs w:val="24"/>
          <w:lang w:val="zh-CN" w:eastAsia="zh-CN" w:bidi="ar"/>
        </w:rPr>
        <w:t>专门成立财政支出绩效评价工作小组，组织对202</w:t>
      </w:r>
      <w:r>
        <w:rPr>
          <w:rFonts w:hint="eastAsia" w:ascii="宋体" w:hAnsi="宋体" w:eastAsia="宋体" w:cs="Times New Roman"/>
          <w:sz w:val="32"/>
          <w:szCs w:val="24"/>
          <w:lang w:val="en-US" w:eastAsia="zh-CN" w:bidi="ar"/>
        </w:rPr>
        <w:t>4</w:t>
      </w:r>
      <w:r>
        <w:rPr>
          <w:rFonts w:hint="default" w:ascii="宋体" w:hAnsi="宋体" w:eastAsia="宋体" w:cs="Times New Roman"/>
          <w:sz w:val="32"/>
          <w:szCs w:val="24"/>
          <w:lang w:val="zh-CN" w:eastAsia="zh-CN" w:bidi="ar"/>
        </w:rPr>
        <w:t>年度部门整体支出开展了绩效自评。现将有关情况报告如下：</w:t>
      </w:r>
    </w:p>
    <w:p w14:paraId="08D61261">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一、部门</w:t>
      </w:r>
      <w:r>
        <w:rPr>
          <w:rFonts w:hint="eastAsia" w:ascii="黑体" w:hAnsi="黑体" w:eastAsia="黑体" w:cs="黑体"/>
          <w:b w:val="0"/>
          <w:bCs/>
          <w:kern w:val="0"/>
          <w:sz w:val="32"/>
          <w:szCs w:val="32"/>
        </w:rPr>
        <w:t>职责</w:t>
      </w:r>
    </w:p>
    <w:p w14:paraId="20383C62">
      <w:pPr>
        <w:spacing w:before="156" w:beforeLines="50" w:after="156" w:afterLines="50" w:line="560" w:lineRule="exact"/>
        <w:ind w:firstLine="640" w:firstLineChars="200"/>
        <w:rPr>
          <w:rFonts w:hint="eastAsia" w:ascii="仿宋" w:hAnsi="仿宋" w:eastAsia="仿宋" w:cs="仿宋"/>
          <w:sz w:val="32"/>
          <w:szCs w:val="32"/>
          <w:lang w:val="en-US" w:eastAsia="zh-CN"/>
        </w:rPr>
      </w:pPr>
      <w:r>
        <w:rPr>
          <w:rFonts w:hint="eastAsia" w:ascii="Times New Roman" w:hAnsi="Times New Roman" w:eastAsia="仿宋_GB2312" w:cs="仿宋_GB2312"/>
          <w:sz w:val="32"/>
          <w:szCs w:val="32"/>
        </w:rPr>
        <w:t>（一）</w:t>
      </w:r>
      <w:r>
        <w:rPr>
          <w:rFonts w:hint="eastAsia" w:ascii="Times New Roman" w:hAnsi="Times New Roman" w:eastAsia="仿宋_GB2312" w:cs="仿宋_GB2312"/>
          <w:kern w:val="0"/>
          <w:sz w:val="32"/>
          <w:szCs w:val="32"/>
        </w:rPr>
        <w:t>主要职责为：</w:t>
      </w:r>
      <w:r>
        <w:rPr>
          <w:rFonts w:hint="eastAsia" w:ascii="Times New Roman" w:hAnsi="Times New Roman" w:eastAsia="仿宋_GB2312" w:cs="仿宋_GB2312"/>
          <w:b/>
          <w:bCs/>
          <w:kern w:val="0"/>
          <w:sz w:val="32"/>
          <w:szCs w:val="32"/>
          <w:lang w:val="en-US" w:eastAsia="zh-CN"/>
        </w:rPr>
        <w:t>一是</w:t>
      </w:r>
      <w:r>
        <w:rPr>
          <w:rFonts w:hint="eastAsia" w:ascii="Times New Roman" w:hAnsi="Times New Roman" w:eastAsia="仿宋_GB2312" w:cs="仿宋_GB2312"/>
          <w:b/>
          <w:bCs/>
          <w:kern w:val="0"/>
          <w:sz w:val="32"/>
          <w:szCs w:val="32"/>
          <w:lang w:val="zh-CN" w:eastAsia="zh-CN"/>
        </w:rPr>
        <w:t>为机关提供支持保障的职能。</w:t>
      </w:r>
      <w:r>
        <w:rPr>
          <w:rFonts w:hint="eastAsia" w:ascii="仿宋" w:hAnsi="仿宋" w:eastAsia="仿宋" w:cs="仿宋"/>
          <w:sz w:val="32"/>
          <w:szCs w:val="32"/>
          <w:lang w:val="zh-CN" w:eastAsia="zh-CN"/>
        </w:rPr>
        <w:t>主要参与拟订农业产业发展规划相关事务性工作；组织农业项目评审、农村集体产权交易、农村承包地经营权流转农村事务的行政辅助工作。负责基层农业技术推广体系和农业广播电视学校体系建设以及工作考评的事务性工作。负责土壤耕地质量、土壤肥力、水生动物疫病、渔业环境等农业生态环境监测的技术支撑工作；负责退化耕地治理、耕地质量损毁和修复鉴定的技术支撑工作；负责指导耕地质量监测网络建设事务性工作；负责养殖业结构调整、产业规划与布局、标准化生产、规模化养殖和畜禽粪污资源化利用的技术支撑工作。负责农机社会化服务和农机装备产业化发展的技术支撑工作。</w:t>
      </w:r>
      <w:r>
        <w:rPr>
          <w:rFonts w:hint="eastAsia" w:ascii="Times New Roman" w:hAnsi="Times New Roman" w:eastAsia="仿宋_GB2312" w:cs="仿宋_GB2312"/>
          <w:b/>
          <w:bCs/>
          <w:kern w:val="0"/>
          <w:sz w:val="32"/>
          <w:szCs w:val="32"/>
          <w:lang w:val="zh-CN" w:eastAsia="zh-CN"/>
        </w:rPr>
        <w:t>二是面向社会提供公益服务的职能。</w:t>
      </w:r>
      <w:r>
        <w:rPr>
          <w:rFonts w:hint="eastAsia" w:ascii="仿宋" w:hAnsi="仿宋" w:eastAsia="仿宋" w:cs="仿宋"/>
          <w:sz w:val="32"/>
          <w:szCs w:val="32"/>
          <w:lang w:val="zh-CN" w:eastAsia="zh-CN"/>
        </w:rPr>
        <w:t>负责农业技术推广项目组织实施工作；负责农业新品种、新技术、新装备的引进、试验、示范推广及先进性、适用性和安全性评价工作。负责农产品“二品一标”申报、认证、宣传推介的事务性工作。负责乡村振兴人才教育培训、农民职业技能鉴定、农业声像宣传、管理的事务性工作；负责组织农民体育赛事活动。</w:t>
      </w:r>
    </w:p>
    <w:p w14:paraId="71D5F360">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7E186F6">
      <w:pPr>
        <w:pStyle w:val="6"/>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Cs/>
          <w:color w:val="auto"/>
          <w:kern w:val="0"/>
          <w:sz w:val="32"/>
          <w:szCs w:val="32"/>
        </w:rPr>
        <w:t>（一）</w:t>
      </w:r>
      <w:r>
        <w:rPr>
          <w:rFonts w:hint="eastAsia" w:ascii="Times New Roman" w:hAnsi="Times New Roman" w:eastAsia="仿宋_GB2312" w:cs="仿宋_GB2312"/>
          <w:bCs/>
          <w:kern w:val="0"/>
          <w:sz w:val="32"/>
          <w:szCs w:val="32"/>
        </w:rPr>
        <w:t>内设机构设置</w:t>
      </w:r>
    </w:p>
    <w:p w14:paraId="0E159CEC">
      <w:pPr>
        <w:spacing w:before="156" w:beforeLines="50" w:after="156" w:afterLines="50" w:line="560" w:lineRule="exact"/>
        <w:ind w:firstLine="640" w:firstLineChars="200"/>
        <w:rPr>
          <w:rFonts w:hint="default" w:ascii="宋体" w:hAnsi="宋体" w:eastAsia="宋体" w:cs="Times New Roman"/>
          <w:sz w:val="32"/>
          <w:szCs w:val="24"/>
          <w:lang w:val="en-US" w:eastAsia="zh-CN" w:bidi="ar"/>
        </w:rPr>
      </w:pPr>
      <w:r>
        <w:rPr>
          <w:rFonts w:hint="eastAsia" w:ascii="宋体" w:hAnsi="宋体" w:eastAsia="宋体" w:cs="Times New Roman"/>
          <w:sz w:val="32"/>
          <w:szCs w:val="24"/>
          <w:lang w:val="zh-CN" w:eastAsia="zh-CN" w:bidi="ar"/>
        </w:rPr>
        <w:t>岳阳市农业农村事务中心（市农业广播电视学校）内设</w:t>
      </w:r>
      <w:r>
        <w:rPr>
          <w:rFonts w:hint="eastAsia" w:ascii="宋体" w:hAnsi="宋体" w:eastAsia="宋体" w:cs="Times New Roman"/>
          <w:sz w:val="32"/>
          <w:szCs w:val="24"/>
          <w:lang w:val="en-US" w:eastAsia="zh-CN" w:bidi="ar"/>
        </w:rPr>
        <w:t>7个内设</w:t>
      </w:r>
      <w:r>
        <w:rPr>
          <w:rFonts w:hint="eastAsia" w:ascii="宋体" w:hAnsi="宋体" w:eastAsia="宋体" w:cs="Times New Roman"/>
          <w:sz w:val="32"/>
          <w:szCs w:val="24"/>
          <w:lang w:val="zh-CN" w:eastAsia="zh-CN" w:bidi="ar"/>
        </w:rPr>
        <w:t>机构、</w:t>
      </w:r>
      <w:r>
        <w:rPr>
          <w:rFonts w:hint="eastAsia" w:ascii="宋体" w:hAnsi="宋体" w:eastAsia="宋体" w:cs="Times New Roman"/>
          <w:sz w:val="32"/>
          <w:szCs w:val="24"/>
          <w:lang w:val="en-US" w:eastAsia="zh-CN" w:bidi="ar"/>
        </w:rPr>
        <w:t>1个分支机构</w:t>
      </w:r>
      <w:r>
        <w:rPr>
          <w:rFonts w:hint="eastAsia" w:ascii="宋体" w:hAnsi="宋体" w:eastAsia="宋体" w:cs="Times New Roman"/>
          <w:sz w:val="32"/>
          <w:szCs w:val="24"/>
          <w:lang w:val="zh-CN" w:eastAsia="zh-CN" w:bidi="ar"/>
        </w:rPr>
        <w:t>。五</w:t>
      </w:r>
      <w:r>
        <w:rPr>
          <w:rFonts w:hint="eastAsia" w:ascii="宋体" w:hAnsi="宋体" w:eastAsia="宋体" w:cs="Times New Roman"/>
          <w:sz w:val="32"/>
          <w:szCs w:val="24"/>
          <w:lang w:val="en-US" w:eastAsia="zh-CN" w:bidi="ar"/>
        </w:rPr>
        <w:t>个内设</w:t>
      </w:r>
      <w:r>
        <w:rPr>
          <w:rFonts w:hint="eastAsia" w:ascii="宋体" w:hAnsi="宋体" w:eastAsia="宋体" w:cs="Times New Roman"/>
          <w:sz w:val="32"/>
          <w:szCs w:val="24"/>
          <w:lang w:val="zh-CN" w:eastAsia="zh-CN" w:bidi="ar"/>
        </w:rPr>
        <w:t>机构：综合部、党群人事部、乡村振兴事务部、种植业事务部、畜牧水产事务部、农机事务部、农业生态环境监测部(水生动物疫病防控监测部)</w:t>
      </w:r>
      <w:r>
        <w:rPr>
          <w:rFonts w:hint="eastAsia" w:ascii="宋体" w:hAnsi="宋体" w:eastAsia="宋体" w:cs="Times New Roman"/>
          <w:sz w:val="32"/>
          <w:szCs w:val="24"/>
          <w:lang w:val="en-US" w:eastAsia="zh-CN" w:bidi="ar"/>
        </w:rPr>
        <w:t>和</w:t>
      </w:r>
      <w:r>
        <w:rPr>
          <w:rFonts w:hint="eastAsia" w:ascii="宋体" w:hAnsi="宋体" w:eastAsia="宋体" w:cs="Times New Roman"/>
          <w:sz w:val="32"/>
          <w:szCs w:val="24"/>
          <w:lang w:val="zh-CN" w:eastAsia="zh-CN" w:bidi="ar"/>
        </w:rPr>
        <w:t>一个分支机构市农业教育培训工作站。</w:t>
      </w:r>
    </w:p>
    <w:p w14:paraId="5DAAAD40">
      <w:pPr>
        <w:spacing w:before="156" w:beforeLines="50" w:after="156" w:afterLines="50" w:line="560" w:lineRule="exact"/>
        <w:ind w:firstLine="643" w:firstLineChars="200"/>
        <w:rPr>
          <w:rFonts w:hint="default" w:ascii="宋体" w:hAnsi="宋体" w:eastAsia="宋体" w:cs="Times New Roman"/>
          <w:b/>
          <w:bCs/>
          <w:sz w:val="32"/>
          <w:szCs w:val="24"/>
          <w:lang w:val="zh-CN" w:eastAsia="zh-CN" w:bidi="ar"/>
        </w:rPr>
      </w:pPr>
      <w:r>
        <w:rPr>
          <w:rFonts w:hint="default" w:ascii="宋体" w:hAnsi="宋体" w:eastAsia="宋体" w:cs="Times New Roman"/>
          <w:b/>
          <w:bCs/>
          <w:sz w:val="32"/>
          <w:szCs w:val="24"/>
          <w:lang w:val="zh-CN" w:eastAsia="zh-CN" w:bidi="ar"/>
        </w:rPr>
        <w:t>二、年度重点工作</w:t>
      </w:r>
    </w:p>
    <w:p w14:paraId="750BD088">
      <w:pPr>
        <w:spacing w:before="156" w:beforeLines="50" w:after="156" w:afterLines="50" w:line="560" w:lineRule="exact"/>
        <w:ind w:firstLine="640" w:firstLineChars="200"/>
        <w:rPr>
          <w:rFonts w:hint="default" w:ascii="宋体" w:hAnsi="宋体" w:eastAsia="宋体" w:cs="Times New Roman"/>
          <w:sz w:val="32"/>
          <w:szCs w:val="24"/>
          <w:lang w:val="zh-CN" w:eastAsia="zh-CN" w:bidi="ar"/>
        </w:rPr>
      </w:pPr>
      <w:r>
        <w:rPr>
          <w:rFonts w:hint="eastAsia" w:ascii="宋体" w:hAnsi="宋体" w:eastAsia="宋体" w:cs="Times New Roman"/>
          <w:sz w:val="32"/>
          <w:szCs w:val="24"/>
          <w:lang w:val="zh-CN" w:eastAsia="zh-CN" w:bidi="ar"/>
        </w:rPr>
        <w:t>202</w:t>
      </w:r>
      <w:r>
        <w:rPr>
          <w:rFonts w:hint="eastAsia" w:ascii="宋体" w:hAnsi="宋体" w:eastAsia="宋体" w:cs="Times New Roman"/>
          <w:sz w:val="32"/>
          <w:szCs w:val="24"/>
          <w:lang w:val="en-US" w:eastAsia="zh-CN" w:bidi="ar"/>
        </w:rPr>
        <w:t>4</w:t>
      </w:r>
      <w:r>
        <w:rPr>
          <w:rFonts w:hint="eastAsia" w:ascii="宋体" w:hAnsi="宋体" w:eastAsia="宋体" w:cs="Times New Roman"/>
          <w:sz w:val="32"/>
          <w:szCs w:val="24"/>
          <w:lang w:val="zh-CN" w:eastAsia="zh-CN" w:bidi="ar"/>
        </w:rPr>
        <w:t>年，市农业农村事务中心党委坚持以习近平新时代中国特色社会主义思想为指导，在市委市政府和局党组的坚强领导下，凝心聚力，团结奋进，认真履行中心行政辅助和公益服务职能，稳步推进各项工作，圆满完成任务并取得成效，总结如下：</w:t>
      </w:r>
    </w:p>
    <w:p w14:paraId="04884E51">
      <w:pPr>
        <w:spacing w:before="156" w:beforeLines="50" w:after="156" w:afterLines="50" w:line="560" w:lineRule="exact"/>
        <w:ind w:firstLine="640" w:firstLineChars="200"/>
        <w:rPr>
          <w:rFonts w:hint="eastAsia" w:ascii="宋体" w:hAnsi="宋体" w:eastAsia="宋体" w:cs="Times New Roman"/>
          <w:sz w:val="32"/>
          <w:szCs w:val="24"/>
          <w:lang w:val="zh-CN" w:eastAsia="zh-CN" w:bidi="ar"/>
        </w:rPr>
      </w:pPr>
      <w:r>
        <w:rPr>
          <w:rFonts w:hint="default" w:ascii="宋体" w:hAnsi="宋体" w:eastAsia="宋体" w:cs="Times New Roman"/>
          <w:sz w:val="32"/>
          <w:szCs w:val="24"/>
          <w:lang w:val="en-US" w:eastAsia="zh-CN" w:bidi="ar"/>
        </w:rPr>
        <w:t>202</w:t>
      </w:r>
      <w:r>
        <w:rPr>
          <w:rFonts w:hint="eastAsia" w:ascii="宋体" w:hAnsi="宋体" w:eastAsia="宋体" w:cs="Times New Roman"/>
          <w:sz w:val="32"/>
          <w:szCs w:val="24"/>
          <w:lang w:val="en-US" w:eastAsia="zh-CN" w:bidi="ar"/>
        </w:rPr>
        <w:t>4年，在市委、市政府和局党组的正确领导下，</w:t>
      </w:r>
      <w:r>
        <w:rPr>
          <w:rFonts w:hint="eastAsia" w:ascii="宋体" w:hAnsi="宋体" w:eastAsia="宋体" w:cs="Times New Roman"/>
          <w:sz w:val="32"/>
          <w:szCs w:val="24"/>
          <w:lang w:val="zh-CN" w:eastAsia="zh-CN" w:bidi="ar"/>
        </w:rPr>
        <w:t>坚持以习近平新时代中国特色社会主义思想为指导，中心党委班子带领</w:t>
      </w:r>
      <w:r>
        <w:rPr>
          <w:rFonts w:hint="eastAsia" w:ascii="宋体" w:hAnsi="宋体" w:eastAsia="宋体" w:cs="Times New Roman"/>
          <w:sz w:val="32"/>
          <w:szCs w:val="24"/>
          <w:lang w:val="en-US" w:eastAsia="zh-CN" w:bidi="ar"/>
        </w:rPr>
        <w:t>全体干部职工，</w:t>
      </w:r>
      <w:r>
        <w:rPr>
          <w:rFonts w:hint="eastAsia" w:ascii="宋体" w:hAnsi="宋体" w:eastAsia="宋体" w:cs="Times New Roman"/>
          <w:sz w:val="32"/>
          <w:szCs w:val="24"/>
          <w:lang w:val="zh-CN" w:eastAsia="zh-CN" w:bidi="ar"/>
        </w:rPr>
        <w:t>围绕年初制定目标</w:t>
      </w:r>
      <w:r>
        <w:rPr>
          <w:rFonts w:hint="eastAsia" w:ascii="宋体" w:hAnsi="宋体" w:eastAsia="宋体" w:cs="Times New Roman"/>
          <w:sz w:val="32"/>
          <w:szCs w:val="24"/>
          <w:lang w:val="en-US" w:eastAsia="zh-CN" w:bidi="ar"/>
        </w:rPr>
        <w:t>,</w:t>
      </w:r>
      <w:r>
        <w:rPr>
          <w:rFonts w:hint="eastAsia" w:ascii="宋体" w:hAnsi="宋体" w:eastAsia="宋体" w:cs="Times New Roman"/>
          <w:sz w:val="32"/>
          <w:szCs w:val="24"/>
          <w:lang w:val="zh-CN" w:eastAsia="zh-CN" w:bidi="ar"/>
        </w:rPr>
        <w:t>不忘初心，牢记使命、</w:t>
      </w:r>
      <w:r>
        <w:rPr>
          <w:rFonts w:hint="eastAsia" w:ascii="宋体" w:hAnsi="宋体" w:eastAsia="宋体" w:cs="Times New Roman"/>
          <w:sz w:val="32"/>
          <w:szCs w:val="24"/>
          <w:lang w:val="en-US" w:eastAsia="zh-CN" w:bidi="ar"/>
        </w:rPr>
        <w:t>攻坚克难、脚踏实地、勤勤恳恳地工作，圆满的完成了上级下达的各项目标任务,为我市农业产业绿色生态高质量发展，提供了强有力的人才和技术支撑。</w:t>
      </w:r>
    </w:p>
    <w:p w14:paraId="1AB91E12">
      <w:pPr>
        <w:ind w:firstLine="720" w:firstLineChars="200"/>
        <w:rPr>
          <w:rFonts w:hint="eastAsia" w:ascii="仿宋" w:hAnsi="仿宋" w:eastAsia="仿宋" w:cs="仿宋"/>
          <w:sz w:val="32"/>
          <w:szCs w:val="32"/>
          <w:lang w:val="en-US" w:eastAsia="zh-CN"/>
        </w:rPr>
      </w:pPr>
      <w:r>
        <w:rPr>
          <w:rFonts w:hint="eastAsia" w:ascii="黑体" w:hAnsi="黑体" w:eastAsia="黑体" w:cs="黑体"/>
          <w:b w:val="0"/>
          <w:bCs w:val="0"/>
          <w:color w:val="auto"/>
          <w:sz w:val="36"/>
          <w:szCs w:val="36"/>
          <w:lang w:val="en-US" w:eastAsia="zh-CN"/>
        </w:rPr>
        <w:t>一、</w:t>
      </w:r>
      <w:r>
        <w:rPr>
          <w:rFonts w:hint="eastAsia" w:ascii="黑体" w:hAnsi="黑体" w:eastAsia="黑体" w:cs="黑体"/>
          <w:b w:val="0"/>
          <w:bCs w:val="0"/>
          <w:color w:val="auto"/>
          <w:sz w:val="36"/>
          <w:szCs w:val="36"/>
          <w:lang w:eastAsia="zh-CN"/>
        </w:rPr>
        <w:t>驰而不息，</w:t>
      </w:r>
      <w:r>
        <w:rPr>
          <w:rFonts w:hint="eastAsia" w:ascii="黑体" w:hAnsi="黑体" w:eastAsia="黑体" w:cs="黑体"/>
          <w:b w:val="0"/>
          <w:bCs w:val="0"/>
          <w:color w:val="auto"/>
          <w:sz w:val="36"/>
          <w:szCs w:val="36"/>
          <w:lang w:val="en-US" w:eastAsia="zh-CN"/>
        </w:rPr>
        <w:t>筑牢</w:t>
      </w:r>
      <w:r>
        <w:rPr>
          <w:rFonts w:hint="eastAsia" w:ascii="黑体" w:hAnsi="黑体" w:eastAsia="黑体" w:cs="黑体"/>
          <w:b w:val="0"/>
          <w:bCs w:val="0"/>
          <w:color w:val="auto"/>
          <w:sz w:val="36"/>
          <w:szCs w:val="36"/>
          <w:lang w:eastAsia="zh-CN"/>
        </w:rPr>
        <w:t>党建引领</w:t>
      </w:r>
      <w:r>
        <w:rPr>
          <w:rFonts w:hint="eastAsia" w:ascii="黑体" w:hAnsi="黑体" w:eastAsia="黑体" w:cs="黑体"/>
          <w:b w:val="0"/>
          <w:bCs w:val="0"/>
          <w:color w:val="auto"/>
          <w:sz w:val="36"/>
          <w:szCs w:val="36"/>
          <w:lang w:val="en-US" w:eastAsia="zh-CN"/>
        </w:rPr>
        <w:t>思维。</w:t>
      </w:r>
      <w:r>
        <w:rPr>
          <w:rFonts w:hint="eastAsia" w:ascii="楷体" w:hAnsi="楷体" w:eastAsia="楷体" w:cs="楷体"/>
          <w:b/>
          <w:bCs/>
          <w:sz w:val="32"/>
          <w:szCs w:val="32"/>
          <w:lang w:val="en-US" w:eastAsia="zh-CN"/>
        </w:rPr>
        <w:t>一是突出政治引领，强化理论武装。</w:t>
      </w:r>
      <w:r>
        <w:rPr>
          <w:rFonts w:hint="eastAsia" w:ascii="仿宋" w:hAnsi="仿宋" w:eastAsia="仿宋" w:cs="仿宋"/>
          <w:sz w:val="32"/>
          <w:szCs w:val="32"/>
          <w:lang w:val="en-US" w:eastAsia="zh-CN"/>
        </w:rPr>
        <w:t>严格落实党委中心组理论学习制度，严肃政治生活，严明政治纪律，严守政治规矩，中心党委把学习习近平思想</w:t>
      </w:r>
      <w:r>
        <w:rPr>
          <w:rFonts w:hint="eastAsia" w:ascii="仿宋" w:hAnsi="仿宋" w:eastAsia="仿宋" w:cs="仿宋"/>
          <w:sz w:val="32"/>
          <w:szCs w:val="32"/>
        </w:rPr>
        <w:t>作为</w:t>
      </w:r>
      <w:r>
        <w:rPr>
          <w:rFonts w:hint="eastAsia" w:ascii="仿宋" w:hAnsi="仿宋" w:eastAsia="仿宋" w:cs="仿宋"/>
          <w:sz w:val="32"/>
          <w:szCs w:val="32"/>
          <w:lang w:val="en-US" w:eastAsia="zh-CN"/>
        </w:rPr>
        <w:t>中心</w:t>
      </w:r>
      <w:r>
        <w:rPr>
          <w:rFonts w:hint="eastAsia" w:ascii="仿宋" w:hAnsi="仿宋" w:eastAsia="仿宋" w:cs="仿宋"/>
          <w:sz w:val="32"/>
          <w:szCs w:val="32"/>
        </w:rPr>
        <w:t>各类会议的第一议题,推动学习常态化</w:t>
      </w:r>
      <w:r>
        <w:rPr>
          <w:rFonts w:hint="eastAsia" w:ascii="仿宋" w:hAnsi="仿宋" w:eastAsia="仿宋" w:cs="仿宋"/>
          <w:sz w:val="32"/>
          <w:szCs w:val="32"/>
          <w:lang w:eastAsia="zh-CN"/>
        </w:rPr>
        <w:t>、</w:t>
      </w:r>
      <w:r>
        <w:rPr>
          <w:rFonts w:hint="eastAsia" w:ascii="仿宋" w:hAnsi="仿宋" w:eastAsia="仿宋" w:cs="仿宋"/>
          <w:sz w:val="32"/>
          <w:szCs w:val="32"/>
        </w:rPr>
        <w:t>制度化。</w:t>
      </w:r>
      <w:r>
        <w:rPr>
          <w:rFonts w:hint="eastAsia" w:ascii="仿宋" w:hAnsi="仿宋" w:eastAsia="仿宋" w:cs="仿宋"/>
          <w:sz w:val="32"/>
          <w:szCs w:val="32"/>
          <w:lang w:val="en-US" w:eastAsia="zh-CN"/>
        </w:rPr>
        <w:t>中心党委每月下发学习活动计划，</w:t>
      </w:r>
      <w:r>
        <w:rPr>
          <w:rFonts w:hint="eastAsia" w:ascii="仿宋" w:hAnsi="仿宋" w:eastAsia="仿宋" w:cs="仿宋"/>
          <w:sz w:val="32"/>
          <w:szCs w:val="32"/>
        </w:rPr>
        <w:t>坚持每月学习制度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组织开展了集中学习或各支部组织学习，牢固树立纪律观念和规矩意识。</w:t>
      </w:r>
      <w:r>
        <w:rPr>
          <w:rFonts w:hint="eastAsia" w:ascii="仿宋" w:hAnsi="仿宋" w:eastAsia="仿宋" w:cs="仿宋"/>
          <w:sz w:val="32"/>
          <w:szCs w:val="32"/>
          <w:lang w:eastAsia="zh-CN"/>
        </w:rPr>
        <w:t>一年来，</w:t>
      </w:r>
      <w:r>
        <w:rPr>
          <w:rFonts w:hint="eastAsia" w:ascii="仿宋" w:hAnsi="仿宋" w:eastAsia="仿宋" w:cs="仿宋"/>
          <w:sz w:val="32"/>
          <w:szCs w:val="32"/>
          <w:lang w:val="en-US" w:eastAsia="zh-CN"/>
        </w:rPr>
        <w:t>党委中心组</w:t>
      </w:r>
      <w:r>
        <w:rPr>
          <w:rFonts w:hint="eastAsia" w:ascii="仿宋" w:hAnsi="仿宋" w:eastAsia="仿宋" w:cs="仿宋"/>
          <w:sz w:val="32"/>
          <w:szCs w:val="32"/>
        </w:rPr>
        <w:t>学习</w:t>
      </w:r>
      <w:r>
        <w:rPr>
          <w:rFonts w:hint="eastAsia" w:ascii="仿宋" w:hAnsi="仿宋" w:eastAsia="仿宋" w:cs="仿宋"/>
          <w:sz w:val="32"/>
          <w:szCs w:val="32"/>
          <w:lang w:val="en-US" w:eastAsia="zh-CN"/>
        </w:rPr>
        <w:t>了</w:t>
      </w:r>
      <w:r>
        <w:rPr>
          <w:rFonts w:hint="eastAsia" w:ascii="仿宋" w:hAnsi="仿宋" w:eastAsia="仿宋" w:cs="仿宋"/>
          <w:sz w:val="32"/>
          <w:szCs w:val="32"/>
        </w:rPr>
        <w:t>习近平新时代中国特色社会主义思想、党的</w:t>
      </w:r>
      <w:r>
        <w:rPr>
          <w:rFonts w:hint="eastAsia" w:ascii="仿宋" w:hAnsi="仿宋" w:eastAsia="仿宋" w:cs="仿宋"/>
          <w:sz w:val="32"/>
          <w:szCs w:val="32"/>
          <w:lang w:val="en-US" w:eastAsia="zh-CN"/>
        </w:rPr>
        <w:t>二十届三中全会会议</w:t>
      </w:r>
      <w:r>
        <w:rPr>
          <w:rFonts w:hint="eastAsia" w:ascii="仿宋" w:hAnsi="仿宋" w:eastAsia="仿宋" w:cs="仿宋"/>
          <w:sz w:val="32"/>
          <w:szCs w:val="32"/>
        </w:rPr>
        <w:t>精神和习近平总书记重要</w:t>
      </w:r>
      <w:r>
        <w:rPr>
          <w:rFonts w:hint="eastAsia" w:ascii="仿宋" w:hAnsi="仿宋" w:eastAsia="仿宋" w:cs="仿宋"/>
          <w:sz w:val="32"/>
          <w:szCs w:val="32"/>
          <w:lang w:eastAsia="zh-CN"/>
        </w:rPr>
        <w:t>论述、重要</w:t>
      </w:r>
      <w:r>
        <w:rPr>
          <w:rFonts w:hint="eastAsia" w:ascii="仿宋" w:hAnsi="仿宋" w:eastAsia="仿宋" w:cs="仿宋"/>
          <w:sz w:val="32"/>
          <w:szCs w:val="32"/>
        </w:rPr>
        <w:t>讲话</w:t>
      </w:r>
      <w:r>
        <w:rPr>
          <w:rFonts w:hint="eastAsia" w:ascii="仿宋" w:hAnsi="仿宋" w:eastAsia="仿宋" w:cs="仿宋"/>
          <w:sz w:val="32"/>
          <w:szCs w:val="32"/>
          <w:lang w:eastAsia="zh-CN"/>
        </w:rPr>
        <w:t>。先后召开党委会议</w:t>
      </w:r>
      <w:r>
        <w:rPr>
          <w:rFonts w:hint="eastAsia" w:ascii="仿宋" w:hAnsi="仿宋" w:eastAsia="仿宋" w:cs="仿宋"/>
          <w:sz w:val="32"/>
          <w:szCs w:val="32"/>
          <w:lang w:val="en-US" w:eastAsia="zh-CN"/>
        </w:rPr>
        <w:t>13次，理论中心组学习12次。中心党委3名委员、1名党办主任、1名预备党员、1名入党积极分子共6人参加了多批次的市直机关工委组织的培训。组织班子成员讲党课，今年党委委员李伏桃同志以《新形势下的政府监督工作》为主题为全体党员干部上了一堂生动深刻的党课，3位支部书记在各支部也讲了3堂党课。开展了青年理论学习领导小组学习活动，中心党委年初确定人员名单，成立青年理论小组，中心党委组织9名单位青年理论学习活动领导小组成员每月组织开展学习活动。</w:t>
      </w:r>
      <w:r>
        <w:rPr>
          <w:rFonts w:hint="eastAsia" w:ascii="楷体" w:hAnsi="楷体" w:eastAsia="楷体" w:cs="楷体"/>
          <w:b/>
          <w:bCs/>
          <w:sz w:val="32"/>
          <w:szCs w:val="32"/>
          <w:lang w:val="en-US" w:eastAsia="zh-CN"/>
        </w:rPr>
        <w:t>二是强化组织建设，夯实党建基础。</w:t>
      </w:r>
      <w:r>
        <w:rPr>
          <w:rFonts w:hint="eastAsia" w:ascii="仿宋" w:hAnsi="仿宋" w:eastAsia="仿宋" w:cs="仿宋"/>
          <w:b/>
          <w:bCs/>
          <w:sz w:val="32"/>
          <w:szCs w:val="32"/>
          <w:lang w:val="en-US" w:eastAsia="zh-CN"/>
        </w:rPr>
        <w:t>首先</w:t>
      </w:r>
      <w:r>
        <w:rPr>
          <w:rFonts w:hint="eastAsia" w:ascii="仿宋" w:hAnsi="仿宋" w:eastAsia="仿宋" w:cs="仿宋"/>
          <w:sz w:val="32"/>
          <w:szCs w:val="32"/>
          <w:lang w:val="en-US" w:eastAsia="zh-CN"/>
        </w:rPr>
        <w:t>对班子成员和部室负责人分工进行了重新调整，合理调整了党支部设置，优化了3个党支部人员分布，优化了干部队伍</w:t>
      </w:r>
      <w:r>
        <w:rPr>
          <w:rFonts w:hint="eastAsia" w:ascii="仿宋" w:hAnsi="仿宋" w:eastAsia="仿宋" w:cs="仿宋"/>
          <w:sz w:val="32"/>
          <w:szCs w:val="32"/>
          <w:lang w:eastAsia="zh-CN"/>
        </w:rPr>
        <w:t>；</w:t>
      </w:r>
      <w:r>
        <w:rPr>
          <w:rFonts w:hint="eastAsia" w:ascii="仿宋" w:hAnsi="仿宋" w:eastAsia="仿宋" w:cs="仿宋"/>
          <w:b/>
          <w:bCs/>
          <w:sz w:val="32"/>
          <w:szCs w:val="32"/>
          <w:lang w:eastAsia="zh-CN"/>
        </w:rPr>
        <w:t>其</w:t>
      </w:r>
      <w:r>
        <w:rPr>
          <w:rFonts w:hint="eastAsia" w:ascii="仿宋" w:hAnsi="仿宋" w:eastAsia="仿宋" w:cs="仿宋"/>
          <w:b/>
          <w:bCs/>
          <w:sz w:val="32"/>
          <w:szCs w:val="32"/>
          <w:lang w:val="en-US" w:eastAsia="zh-CN"/>
        </w:rPr>
        <w:t>次</w:t>
      </w:r>
      <w:r>
        <w:rPr>
          <w:rFonts w:hint="eastAsia" w:ascii="仿宋" w:hAnsi="仿宋" w:eastAsia="仿宋" w:cs="仿宋"/>
          <w:b w:val="0"/>
          <w:bCs w:val="0"/>
          <w:sz w:val="32"/>
          <w:szCs w:val="32"/>
          <w:lang w:val="en-US" w:eastAsia="zh-CN"/>
        </w:rPr>
        <w:t>是</w:t>
      </w:r>
      <w:r>
        <w:rPr>
          <w:rFonts w:hint="eastAsia" w:ascii="楷体" w:hAnsi="楷体" w:eastAsia="楷体" w:cs="楷体"/>
          <w:b w:val="0"/>
          <w:bCs w:val="0"/>
          <w:sz w:val="32"/>
          <w:szCs w:val="32"/>
          <w:lang w:val="en-US" w:eastAsia="zh-CN"/>
        </w:rPr>
        <w:t>落实主体责任。</w:t>
      </w:r>
      <w:r>
        <w:rPr>
          <w:rFonts w:hint="eastAsia" w:ascii="仿宋" w:hAnsi="仿宋" w:eastAsia="仿宋" w:cs="仿宋"/>
          <w:sz w:val="32"/>
          <w:szCs w:val="32"/>
          <w:lang w:val="en-US" w:eastAsia="zh-CN"/>
        </w:rPr>
        <w:t>将党风廉政建设与业务工作同部署、同推进、同考核。制定《中共岳阳市农业农村事务中心2024年度落实全面从严治党工作要点》，践行民主集中制，凡“三重一大”事项，均由班子集体研究决定；坚持“谁主管、谁负责”的原则，明确了班子成员履行全面从严治党责任清单，</w:t>
      </w:r>
      <w:r>
        <w:rPr>
          <w:rFonts w:hint="eastAsia" w:ascii="仿宋" w:hAnsi="仿宋" w:eastAsia="仿宋" w:cs="仿宋"/>
          <w:sz w:val="32"/>
          <w:szCs w:val="32"/>
          <w:lang w:val="en-US" w:eastAsia="zh-Hans"/>
        </w:rPr>
        <w:t>对相关工作任务进行分解，明确责任领导和责</w:t>
      </w:r>
      <w:r>
        <w:rPr>
          <w:rFonts w:hint="eastAsia" w:ascii="仿宋" w:hAnsi="仿宋" w:eastAsia="仿宋" w:cs="仿宋"/>
          <w:sz w:val="32"/>
          <w:szCs w:val="32"/>
          <w:lang w:val="en-US" w:eastAsia="zh-CN"/>
        </w:rPr>
        <w:t>强化日常管理。</w:t>
      </w:r>
      <w:r>
        <w:rPr>
          <w:rFonts w:hint="eastAsia" w:ascii="仿宋" w:hAnsi="仿宋" w:eastAsia="仿宋" w:cs="仿宋"/>
          <w:b/>
          <w:bCs/>
          <w:sz w:val="32"/>
          <w:szCs w:val="32"/>
          <w:lang w:val="en-US" w:eastAsia="zh-CN"/>
        </w:rPr>
        <w:t>再次</w:t>
      </w:r>
      <w:r>
        <w:rPr>
          <w:rFonts w:hint="eastAsia" w:ascii="仿宋" w:hAnsi="仿宋" w:eastAsia="仿宋" w:cs="仿宋"/>
          <w:b w:val="0"/>
          <w:bCs w:val="0"/>
          <w:sz w:val="32"/>
          <w:szCs w:val="32"/>
          <w:lang w:val="en-US" w:eastAsia="zh-CN"/>
        </w:rPr>
        <w:t>是强化作风建设，严守廉洁底线。</w:t>
      </w:r>
      <w:r>
        <w:rPr>
          <w:rFonts w:hint="eastAsia" w:ascii="仿宋" w:hAnsi="仿宋" w:eastAsia="仿宋" w:cs="仿宋"/>
          <w:sz w:val="32"/>
          <w:szCs w:val="32"/>
          <w:lang w:val="en-US" w:eastAsia="zh-CN"/>
        </w:rPr>
        <w:t>及时掌握党员干部思想动向，累计开展谈心谈话49人次，使每一名同志常怀律己之心、常思贪欲之害，做到知敬畏、存戒惧、守底线。中心党委坚持民主集中制，班子成员带头履行“一岗双责”制，带头遵守中央八项规定和党纪条规，12月13日，市纪委派驻农业农村局纪检组长何雄到中心开展落实全面从严治党工作调研，并与班子成员进行了廉政谈话。</w:t>
      </w:r>
      <w:r>
        <w:rPr>
          <w:rFonts w:hint="eastAsia" w:ascii="仿宋" w:hAnsi="仿宋" w:eastAsia="仿宋" w:cs="仿宋"/>
          <w:b/>
          <w:bCs/>
          <w:sz w:val="32"/>
          <w:szCs w:val="32"/>
          <w:lang w:val="en-US" w:eastAsia="zh-CN"/>
        </w:rPr>
        <w:t>第四</w:t>
      </w:r>
      <w:r>
        <w:rPr>
          <w:rFonts w:hint="eastAsia" w:ascii="仿宋" w:hAnsi="仿宋" w:eastAsia="仿宋" w:cs="仿宋"/>
          <w:sz w:val="32"/>
          <w:szCs w:val="32"/>
          <w:lang w:val="en-US" w:eastAsia="zh-CN"/>
        </w:rPr>
        <w:t>是</w:t>
      </w:r>
      <w:r>
        <w:rPr>
          <w:rFonts w:hint="eastAsia" w:ascii="楷体" w:hAnsi="楷体" w:eastAsia="楷体" w:cs="楷体"/>
          <w:b w:val="0"/>
          <w:bCs w:val="0"/>
          <w:sz w:val="32"/>
          <w:szCs w:val="32"/>
          <w:lang w:val="en-US" w:eastAsia="zh-CN"/>
        </w:rPr>
        <w:t>强化重点监督。</w:t>
      </w:r>
      <w:r>
        <w:rPr>
          <w:rFonts w:hint="eastAsia" w:ascii="仿宋" w:hAnsi="仿宋" w:eastAsia="仿宋" w:cs="仿宋"/>
          <w:sz w:val="32"/>
          <w:szCs w:val="32"/>
          <w:lang w:val="en-US" w:eastAsia="zh-CN"/>
        </w:rPr>
        <w:t>主动邀请派驻纪检监察组参与重大事项决策，加强对种养殖业、农机等重点项目的监督管理；严格控制公务接待支出，严格管理各类因公差旅支出，严格公务用车管理；严格遵守各项工作纪律，让党员干部因敬畏而“不敢”、因制度而“不能”、因觉悟而“不想”。</w:t>
      </w:r>
    </w:p>
    <w:p w14:paraId="2778AC0F">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72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b w:val="0"/>
          <w:bCs w:val="0"/>
          <w:color w:val="auto"/>
          <w:sz w:val="36"/>
          <w:szCs w:val="36"/>
          <w:lang w:eastAsia="zh-CN"/>
        </w:rPr>
        <w:t>二、多措并举，保障</w:t>
      </w:r>
      <w:r>
        <w:rPr>
          <w:rFonts w:hint="eastAsia" w:ascii="黑体" w:hAnsi="黑体" w:eastAsia="黑体" w:cs="黑体"/>
          <w:b w:val="0"/>
          <w:bCs w:val="0"/>
          <w:color w:val="auto"/>
          <w:sz w:val="36"/>
          <w:szCs w:val="36"/>
        </w:rPr>
        <w:t>粮食生产</w:t>
      </w:r>
      <w:r>
        <w:rPr>
          <w:rFonts w:hint="eastAsia" w:ascii="黑体" w:hAnsi="黑体" w:eastAsia="黑体" w:cs="黑体"/>
          <w:b w:val="0"/>
          <w:bCs w:val="0"/>
          <w:color w:val="auto"/>
          <w:sz w:val="36"/>
          <w:szCs w:val="36"/>
          <w:lang w:eastAsia="zh-CN"/>
        </w:rPr>
        <w:t>安全。</w:t>
      </w:r>
      <w:r>
        <w:rPr>
          <w:rFonts w:hint="eastAsia" w:ascii="仿宋_GB2312" w:hAnsi="仿宋" w:eastAsia="仿宋_GB2312"/>
          <w:b/>
          <w:bCs/>
          <w:color w:val="auto"/>
          <w:sz w:val="32"/>
          <w:szCs w:val="32"/>
        </w:rPr>
        <w:t>一是抓好春耕备耕。</w:t>
      </w:r>
      <w:r>
        <w:rPr>
          <w:rFonts w:hint="eastAsia" w:ascii="仿宋_GB2312" w:hAnsi="仿宋_GB2312" w:eastAsia="仿宋_GB2312" w:cs="仿宋_GB2312"/>
          <w:kern w:val="2"/>
          <w:sz w:val="32"/>
          <w:szCs w:val="32"/>
          <w:lang w:val="en-US" w:eastAsia="zh-CN" w:bidi="ar-SA"/>
        </w:rPr>
        <w:t>3月6日组织筹备召开了全市种植业工作会议，</w:t>
      </w:r>
      <w:r>
        <w:rPr>
          <w:rStyle w:val="10"/>
          <w:rFonts w:hint="eastAsia" w:ascii="仿宋_GB2312" w:hAnsi="仿宋_GB2312" w:eastAsia="仿宋_GB2312" w:cs="仿宋_GB2312"/>
          <w:color w:val="auto"/>
          <w:sz w:val="32"/>
          <w:szCs w:val="32"/>
        </w:rPr>
        <w:t>安排部署全市粮油经作、植保农药、土肥水等粮食生产重点工作。</w:t>
      </w:r>
      <w:r>
        <w:rPr>
          <w:rFonts w:hint="eastAsia" w:ascii="仿宋_GB2312" w:hAnsi="仿宋_GB2312" w:eastAsia="仿宋_GB2312" w:cs="仿宋_GB2312"/>
          <w:b/>
          <w:bCs/>
          <w:color w:val="auto"/>
          <w:sz w:val="32"/>
          <w:szCs w:val="32"/>
        </w:rPr>
        <w:t>二是抓好技术指导。</w:t>
      </w:r>
      <w:r>
        <w:rPr>
          <w:rFonts w:hint="eastAsia" w:ascii="仿宋_GB2312" w:hAnsi="仿宋_GB2312" w:eastAsia="仿宋_GB2312" w:cs="仿宋_GB2312"/>
          <w:kern w:val="2"/>
          <w:sz w:val="32"/>
          <w:szCs w:val="32"/>
          <w:lang w:val="en-US" w:eastAsia="zh-CN" w:bidi="ar-SA"/>
        </w:rPr>
        <w:t>落实市农业农村局《关于加强2024年岳阳市集中育秧技术指导的通知》要求，成立6个技术指导组，分别赴10个县市区开展早稻集中育秧技术指导工作，查阅了相关台账记录，实地察看了60多个早稻集中育秧点，针对性的开展了技术指导。深入实地了解秋粮作物长势，会同县市区农业农村局完善抗高温干旱技术方案，指导科学抗旱减灾。</w:t>
      </w:r>
      <w:r>
        <w:rPr>
          <w:rFonts w:hint="eastAsia" w:ascii="仿宋_GB2312" w:hAnsi="仿宋_GB2312" w:eastAsia="仿宋_GB2312" w:cs="仿宋_GB2312"/>
          <w:b/>
          <w:bCs/>
          <w:color w:val="auto"/>
          <w:sz w:val="32"/>
          <w:szCs w:val="32"/>
          <w:lang w:val="en-US" w:eastAsia="zh-CN"/>
        </w:rPr>
        <w:t>三是</w:t>
      </w:r>
      <w:r>
        <w:rPr>
          <w:rFonts w:hint="eastAsia" w:ascii="仿宋_GB2312" w:hAnsi="仿宋_GB2312" w:eastAsia="仿宋_GB2312" w:cs="仿宋_GB2312"/>
          <w:b/>
          <w:bCs/>
          <w:color w:val="auto"/>
          <w:sz w:val="32"/>
          <w:szCs w:val="32"/>
          <w:lang w:eastAsia="zh-CN"/>
        </w:rPr>
        <w:t>开展技术示范。</w:t>
      </w:r>
      <w:r>
        <w:rPr>
          <w:rFonts w:hint="eastAsia" w:ascii="仿宋_GB2312" w:hAnsi="仿宋_GB2312" w:eastAsia="仿宋_GB2312" w:cs="仿宋_GB2312"/>
          <w:kern w:val="2"/>
          <w:sz w:val="32"/>
          <w:szCs w:val="32"/>
          <w:lang w:val="en-US" w:eastAsia="zh-CN" w:bidi="ar-SA"/>
        </w:rPr>
        <w:t>印发《关于发布2024年度水稻主导品种和主推技术的通知》、</w:t>
      </w:r>
      <w:r>
        <w:rPr>
          <w:rFonts w:hint="eastAsia" w:ascii="仿宋_GB2312" w:hAnsi="仿宋" w:eastAsia="仿宋_GB2312" w:cs="Times New Roman"/>
          <w:color w:val="auto"/>
          <w:sz w:val="32"/>
          <w:szCs w:val="32"/>
        </w:rPr>
        <w:t>发布202</w:t>
      </w:r>
      <w:r>
        <w:rPr>
          <w:rFonts w:hint="eastAsia" w:ascii="仿宋_GB2312" w:hAnsi="仿宋" w:eastAsia="仿宋_GB2312" w:cs="Times New Roman"/>
          <w:color w:val="auto"/>
          <w:sz w:val="32"/>
          <w:szCs w:val="32"/>
          <w:lang w:val="en-US" w:eastAsia="zh-CN"/>
        </w:rPr>
        <w:t>4</w:t>
      </w:r>
      <w:r>
        <w:rPr>
          <w:rFonts w:hint="eastAsia" w:ascii="仿宋_GB2312" w:hAnsi="仿宋_GB2312" w:eastAsia="仿宋_GB2312" w:cs="仿宋_GB2312"/>
          <w:kern w:val="2"/>
          <w:sz w:val="32"/>
          <w:szCs w:val="32"/>
          <w:lang w:val="en-US" w:eastAsia="zh-CN" w:bidi="ar-SA"/>
        </w:rPr>
        <w:t>年度水稻主导品种23个，市级主推技术7项，发布《关于抓好当前防旱抗旱工作的提示》和《做好东方田鼠防控预警工作》，避免极端天气对农业生产造成不利影响。积极开展岳阳市2024年“稻+再+菜（油）”机艺融合高产攻关模式示范、玉米大豆带状复合种植绿色防控技术示范、“水稻＋小龙虾”综合种养技术示范、“育秧大棚稻＋小龙虾”综合种养技术示范</w:t>
      </w:r>
      <w:r>
        <w:rPr>
          <w:rFonts w:hint="eastAsia" w:ascii="仿宋_GB2312" w:hAnsi="仿宋" w:eastAsia="仿宋_GB2312" w:cs="Times New Roman"/>
          <w:color w:val="auto"/>
          <w:sz w:val="32"/>
          <w:szCs w:val="32"/>
        </w:rPr>
        <w:t>等多个试验示范项目</w:t>
      </w:r>
      <w:r>
        <w:rPr>
          <w:rFonts w:hint="eastAsia" w:ascii="仿宋_GB2312" w:hAnsi="仿宋" w:eastAsia="仿宋_GB2312" w:cs="Times New Roman"/>
          <w:color w:val="auto"/>
          <w:sz w:val="32"/>
          <w:szCs w:val="32"/>
          <w:lang w:eastAsia="zh-CN"/>
        </w:rPr>
        <w:t>，通过技术集成，</w:t>
      </w:r>
      <w:r>
        <w:rPr>
          <w:rFonts w:hint="eastAsia" w:ascii="仿宋_GB2312" w:hAnsi="仿宋_GB2312" w:eastAsia="仿宋_GB2312" w:cs="仿宋_GB2312"/>
          <w:kern w:val="2"/>
          <w:sz w:val="32"/>
          <w:szCs w:val="32"/>
          <w:lang w:val="en-US" w:eastAsia="zh-CN" w:bidi="ar-SA"/>
        </w:rPr>
        <w:t>推广减肥减药绿色生产方式。</w:t>
      </w:r>
    </w:p>
    <w:p w14:paraId="5F24AF66">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72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b w:val="0"/>
          <w:bCs w:val="0"/>
          <w:color w:val="auto"/>
          <w:sz w:val="36"/>
          <w:szCs w:val="36"/>
          <w:lang w:eastAsia="zh-CN"/>
        </w:rPr>
        <w:t>三、稳打稳扎，推进“两品一标”创建。</w:t>
      </w:r>
      <w:r>
        <w:rPr>
          <w:rFonts w:hint="eastAsia" w:ascii="仿宋_GB2312" w:hAnsi="仿宋_GB2312" w:eastAsia="仿宋_GB2312" w:cs="仿宋_GB2312"/>
          <w:b/>
          <w:bCs/>
          <w:color w:val="auto"/>
          <w:kern w:val="2"/>
          <w:sz w:val="32"/>
          <w:szCs w:val="32"/>
          <w:lang w:val="en-US" w:eastAsia="zh-CN" w:bidi="ar-SA"/>
        </w:rPr>
        <w:t>一是</w:t>
      </w:r>
      <w:r>
        <w:rPr>
          <w:rFonts w:hint="eastAsia" w:ascii="仿宋_GB2312" w:hAnsi="仿宋_GB2312" w:eastAsia="仿宋_GB2312" w:cs="仿宋_GB2312"/>
          <w:b w:val="0"/>
          <w:bCs w:val="0"/>
          <w:color w:val="auto"/>
          <w:kern w:val="2"/>
          <w:sz w:val="32"/>
          <w:szCs w:val="32"/>
          <w:lang w:val="en-US" w:eastAsia="zh-CN" w:bidi="ar-SA"/>
        </w:rPr>
        <w:t>稳步推进绿色食品、有机农产品的认证登记</w:t>
      </w:r>
      <w:r>
        <w:rPr>
          <w:rFonts w:hint="eastAsia" w:ascii="仿宋_GB2312" w:hAnsi="仿宋_GB2312" w:eastAsia="仿宋_GB2312" w:cs="仿宋_GB2312"/>
          <w:kern w:val="2"/>
          <w:sz w:val="32"/>
          <w:szCs w:val="32"/>
          <w:lang w:val="en-US" w:eastAsia="zh-CN" w:bidi="ar-SA"/>
        </w:rPr>
        <w:t>监管工</w:t>
      </w:r>
      <w:r>
        <w:rPr>
          <w:rFonts w:hint="eastAsia" w:ascii="仿宋_GB2312" w:hAnsi="仿宋_GB2312" w:eastAsia="仿宋_GB2312" w:cs="仿宋_GB2312"/>
          <w:b w:val="0"/>
          <w:bCs w:val="0"/>
          <w:color w:val="auto"/>
          <w:kern w:val="2"/>
          <w:sz w:val="32"/>
          <w:szCs w:val="32"/>
          <w:lang w:val="en-US" w:eastAsia="zh-CN" w:bidi="ar-SA"/>
        </w:rPr>
        <w:t>作。确保新认证和续展产品全面入驻国家农产品质量安全追溯管理信息平台和省农产品“身份证”管理平台，做到覆盖率100%。截止目前，全市绿色食品、有机农产品、农产品地理标志认证有效数达到423个，其中绿色食品374个、有机农产品34个、地理标志农产品15个。</w:t>
      </w:r>
      <w:r>
        <w:rPr>
          <w:rFonts w:hint="eastAsia" w:ascii="仿宋_GB2312" w:hAnsi="仿宋_GB2312" w:eastAsia="仿宋_GB2312" w:cs="仿宋_GB2312"/>
          <w:b/>
          <w:bCs/>
          <w:color w:val="auto"/>
          <w:kern w:val="2"/>
          <w:sz w:val="32"/>
          <w:szCs w:val="32"/>
          <w:lang w:val="en-US" w:eastAsia="zh-CN" w:bidi="ar-SA"/>
        </w:rPr>
        <w:t>二是强化绿色食品基地创建。</w:t>
      </w:r>
      <w:r>
        <w:rPr>
          <w:rFonts w:hint="eastAsia" w:ascii="仿宋_GB2312" w:hAnsi="仿宋_GB2312" w:eastAsia="仿宋_GB2312" w:cs="仿宋_GB2312"/>
          <w:kern w:val="2"/>
          <w:sz w:val="32"/>
          <w:szCs w:val="32"/>
          <w:lang w:val="en-US" w:eastAsia="zh-CN" w:bidi="ar-SA"/>
        </w:rPr>
        <w:t>以绿色食品示范基地为引领，辐射带动全市优质农产品发展，满足人民群众对绿色优质农产品日益增长的需求，采取县市区推荐，市级遴选的方式，对全市范围内绿色食品有效认证基地开展遴选与创建。</w:t>
      </w:r>
      <w:r>
        <w:rPr>
          <w:rFonts w:hint="eastAsia" w:ascii="仿宋_GB2312" w:hAnsi="仿宋_GB2312" w:eastAsia="仿宋_GB2312" w:cs="仿宋_GB2312"/>
          <w:b/>
          <w:bCs/>
          <w:color w:val="auto"/>
          <w:kern w:val="2"/>
          <w:sz w:val="32"/>
          <w:szCs w:val="32"/>
          <w:lang w:val="en-US" w:eastAsia="zh-CN" w:bidi="ar-SA"/>
        </w:rPr>
        <w:t>三是加</w:t>
      </w:r>
      <w:r>
        <w:rPr>
          <w:rFonts w:hint="eastAsia" w:ascii="仿宋_GB2312" w:hAnsi="仿宋_GB2312" w:eastAsia="仿宋_GB2312" w:cs="仿宋_GB2312"/>
          <w:b/>
          <w:bCs/>
          <w:color w:val="auto"/>
          <w:sz w:val="32"/>
          <w:szCs w:val="32"/>
        </w:rPr>
        <w:t>强绿色食品宣传推广。</w:t>
      </w:r>
      <w:r>
        <w:rPr>
          <w:rFonts w:hint="eastAsia" w:ascii="仿宋_GB2312" w:hAnsi="仿宋_GB2312" w:eastAsia="仿宋_GB2312" w:cs="仿宋_GB2312"/>
          <w:kern w:val="2"/>
          <w:sz w:val="32"/>
          <w:szCs w:val="32"/>
          <w:lang w:val="en-US" w:eastAsia="zh-CN" w:bidi="ar-SA"/>
        </w:rPr>
        <w:t>积极推介岳阳王鸽、樟树港辣椒、长康芝麻油、一碗陈记甜酒、吉娃米业、白石千车岭茶叶等优秀品牌在《湖南都市》频道开展绿色优质农产品品牌公益宣传；结合2024年“绿色食品 健康引领”主题宣传及金秋九月集中宣传，组织道道全菜籽油、平江烟茶绿色食品开展进地铁主题宣传推广活动；组织绿色食品企业参加第二十一届中国国际农产品交易会。</w:t>
      </w:r>
    </w:p>
    <w:p w14:paraId="5CA9DC2E">
      <w:pPr>
        <w:keepNext w:val="0"/>
        <w:keepLines w:val="0"/>
        <w:pageBreakBefore w:val="0"/>
        <w:widowControl w:val="0"/>
        <w:kinsoku/>
        <w:wordWrap/>
        <w:overflowPunct/>
        <w:topLinePunct w:val="0"/>
        <w:autoSpaceDE/>
        <w:autoSpaceDN/>
        <w:bidi w:val="0"/>
        <w:adjustRightInd w:val="0"/>
        <w:snapToGrid w:val="0"/>
        <w:spacing w:line="520" w:lineRule="atLeast"/>
        <w:ind w:firstLine="72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黑体" w:hAnsi="黑体" w:eastAsia="黑体" w:cs="黑体"/>
          <w:b w:val="0"/>
          <w:bCs w:val="0"/>
          <w:color w:val="auto"/>
          <w:sz w:val="36"/>
          <w:szCs w:val="36"/>
          <w:lang w:eastAsia="zh-CN"/>
        </w:rPr>
        <w:t>四、融合创新，完成农药减量和化肥减量增效。</w:t>
      </w:r>
      <w:r>
        <w:rPr>
          <w:rFonts w:hint="eastAsia" w:ascii="仿宋_GB2312" w:hAnsi="仿宋_GB2312" w:eastAsia="仿宋_GB2312" w:cs="仿宋_GB2312"/>
          <w:b/>
          <w:bCs/>
          <w:kern w:val="2"/>
          <w:sz w:val="32"/>
          <w:szCs w:val="32"/>
          <w:lang w:val="en-US" w:eastAsia="zh-CN" w:bidi="ar-SA"/>
        </w:rPr>
        <w:t>一是以统防统治与绿色防控相融合，完成“虫口夺粮”与农药减量任务。</w:t>
      </w:r>
      <w:r>
        <w:rPr>
          <w:rFonts w:hint="eastAsia" w:ascii="仿宋_GB2312" w:hAnsi="仿宋_GB2312" w:eastAsia="仿宋_GB2312" w:cs="仿宋_GB2312"/>
          <w:sz w:val="32"/>
          <w:szCs w:val="32"/>
          <w:lang w:val="en-US" w:eastAsia="zh-CN"/>
        </w:rPr>
        <w:t>通过精准监测预警、推广统防统治、融合绿色防控、开展评价试验等方式，多措并举，融合推进</w:t>
      </w:r>
      <w:r>
        <w:rPr>
          <w:rFonts w:hint="eastAsia" w:ascii="仿宋_GB2312" w:hAnsi="仿宋_GB2312" w:eastAsia="仿宋_GB2312" w:cs="仿宋_GB2312"/>
          <w:sz w:val="32"/>
          <w:szCs w:val="32"/>
          <w:lang w:eastAsia="zh-CN"/>
        </w:rPr>
        <w:t>统防统治与绿色防控，有力控制病虫为害，降低农药使用量。</w:t>
      </w: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lang w:eastAsia="zh-CN"/>
        </w:rPr>
        <w:t>，我市粮油作物病虫为害损失率为</w:t>
      </w:r>
      <w:r>
        <w:rPr>
          <w:rFonts w:hint="eastAsia" w:ascii="仿宋_GB2312" w:hAnsi="仿宋_GB2312" w:eastAsia="仿宋_GB2312" w:cs="仿宋_GB2312"/>
          <w:sz w:val="32"/>
          <w:szCs w:val="32"/>
          <w:lang w:val="en-US" w:eastAsia="zh-CN"/>
        </w:rPr>
        <w:t>2.42%</w:t>
      </w:r>
      <w:r>
        <w:rPr>
          <w:rFonts w:hint="eastAsia" w:ascii="仿宋_GB2312" w:hAnsi="仿宋_GB2312" w:eastAsia="仿宋_GB2312" w:cs="仿宋_GB2312"/>
          <w:sz w:val="32"/>
          <w:szCs w:val="32"/>
          <w:lang w:eastAsia="zh-CN"/>
        </w:rPr>
        <w:t>，完成省定主要农作物病虫为害损失率控制在</w:t>
      </w:r>
      <w:r>
        <w:rPr>
          <w:rFonts w:hint="eastAsia" w:ascii="仿宋_GB2312" w:hAnsi="仿宋_GB2312" w:eastAsia="仿宋_GB2312" w:cs="仿宋_GB2312"/>
          <w:sz w:val="32"/>
          <w:szCs w:val="32"/>
          <w:lang w:val="en-US" w:eastAsia="zh-CN"/>
        </w:rPr>
        <w:t>5%以内的任务；粮食作物化学农药使用强度76.54克/亩，较去年降低2.35%，经济作物化学农药使用强度119.10克/亩，较去年降低4.36%，完成省定任务。</w:t>
      </w:r>
      <w:r>
        <w:rPr>
          <w:rFonts w:hint="eastAsia" w:ascii="仿宋_GB2312" w:hAnsi="仿宋_GB2312" w:eastAsia="仿宋_GB2312" w:cs="仿宋_GB2312"/>
          <w:b/>
          <w:bCs/>
          <w:kern w:val="2"/>
          <w:sz w:val="32"/>
          <w:szCs w:val="32"/>
          <w:lang w:val="en-US" w:eastAsia="zh-CN" w:bidi="ar-SA"/>
        </w:rPr>
        <w:t>二是以精准施肥与新型模式相融合，完成化肥减量增效任务。</w:t>
      </w:r>
      <w:r>
        <w:rPr>
          <w:rFonts w:hint="eastAsia" w:ascii="仿宋_GB2312" w:hAnsi="仿宋_GB2312" w:eastAsia="仿宋_GB2312" w:cs="仿宋_GB2312"/>
          <w:sz w:val="32"/>
          <w:szCs w:val="32"/>
          <w:highlight w:val="none"/>
          <w:lang w:val="en-US" w:eastAsia="zh-CN"/>
        </w:rPr>
        <w:t>制定印发了《岳阳市2024年科学施肥增效工作实施方案》，一年来各项工作有序开展。</w:t>
      </w:r>
      <w:r>
        <w:rPr>
          <w:rFonts w:hint="eastAsia" w:ascii="楷体" w:hAnsi="楷体" w:eastAsia="楷体" w:cs="楷体"/>
          <w:b/>
          <w:bCs/>
          <w:sz w:val="32"/>
          <w:szCs w:val="32"/>
          <w:highlight w:val="none"/>
          <w:lang w:val="en-US" w:eastAsia="zh-CN"/>
        </w:rPr>
        <w:t>首先</w:t>
      </w:r>
      <w:r>
        <w:rPr>
          <w:rFonts w:hint="eastAsia" w:ascii="楷体" w:hAnsi="楷体" w:eastAsia="楷体" w:cs="楷体"/>
          <w:b w:val="0"/>
          <w:bCs w:val="0"/>
          <w:sz w:val="32"/>
          <w:szCs w:val="32"/>
          <w:highlight w:val="none"/>
          <w:lang w:val="en-US" w:eastAsia="zh-CN"/>
        </w:rPr>
        <w:t>因地制宜精准施肥。</w:t>
      </w:r>
      <w:r>
        <w:rPr>
          <w:rFonts w:hint="eastAsia" w:ascii="仿宋_GB2312" w:hAnsi="仿宋_GB2312" w:eastAsia="仿宋_GB2312" w:cs="仿宋_GB2312"/>
          <w:sz w:val="32"/>
          <w:szCs w:val="32"/>
          <w:highlight w:val="none"/>
          <w:lang w:val="en-US" w:eastAsia="zh-CN"/>
        </w:rPr>
        <w:t>开展取土测土、营养诊断、田间肥效试验等基础工作全市采集土壤样品6603个，开展农户施肥调查1058个、田间试验59个。加强测土配方施肥数据管理与应用，精准制定发布肥料配方信息，减少不合理养分投入，测土配方施肥技术推广面积1041.45万亩。</w:t>
      </w:r>
      <w:r>
        <w:rPr>
          <w:rFonts w:hint="eastAsia" w:ascii="楷体" w:hAnsi="楷体" w:eastAsia="楷体" w:cs="楷体"/>
          <w:b/>
          <w:bCs/>
          <w:sz w:val="32"/>
          <w:szCs w:val="32"/>
          <w:highlight w:val="none"/>
          <w:lang w:val="en-US" w:eastAsia="zh-CN"/>
        </w:rPr>
        <w:t>其次</w:t>
      </w:r>
      <w:r>
        <w:rPr>
          <w:rFonts w:hint="eastAsia" w:ascii="楷体" w:hAnsi="楷体" w:eastAsia="楷体" w:cs="楷体"/>
          <w:b w:val="0"/>
          <w:bCs w:val="0"/>
          <w:sz w:val="32"/>
          <w:szCs w:val="32"/>
          <w:highlight w:val="none"/>
          <w:lang w:val="en-US" w:eastAsia="zh-CN"/>
        </w:rPr>
        <w:t>逐步改良施肥习惯。</w:t>
      </w:r>
      <w:r>
        <w:rPr>
          <w:rFonts w:hint="eastAsia" w:ascii="仿宋_GB2312" w:hAnsi="仿宋_GB2312" w:eastAsia="仿宋_GB2312" w:cs="仿宋_GB2312"/>
          <w:sz w:val="32"/>
          <w:szCs w:val="32"/>
          <w:highlight w:val="none"/>
          <w:lang w:val="en-US" w:eastAsia="zh-CN"/>
        </w:rPr>
        <w:t>截至目前，今年全市已完成粪肥还田还田面积29.58万亩。有机肥施用量达141.52万吨，面积达到144.88万亩，大大减少了化肥的使用投入量。出台了《2024年全市绿肥生产指导意见》，完成绿肥推广示范面积24万亩。</w:t>
      </w:r>
      <w:r>
        <w:rPr>
          <w:rFonts w:hint="eastAsia" w:ascii="楷体" w:hAnsi="楷体" w:eastAsia="楷体" w:cs="楷体"/>
          <w:b/>
          <w:bCs/>
          <w:sz w:val="32"/>
          <w:szCs w:val="32"/>
          <w:highlight w:val="none"/>
          <w:lang w:val="en-US" w:eastAsia="zh-CN"/>
        </w:rPr>
        <w:t>再次，</w:t>
      </w:r>
      <w:r>
        <w:rPr>
          <w:rFonts w:hint="eastAsia" w:ascii="楷体" w:hAnsi="楷体" w:eastAsia="楷体" w:cs="楷体"/>
          <w:b w:val="0"/>
          <w:bCs w:val="0"/>
          <w:sz w:val="32"/>
          <w:szCs w:val="32"/>
          <w:highlight w:val="none"/>
          <w:lang w:val="en-US" w:eastAsia="zh-CN"/>
        </w:rPr>
        <w:t>集成示范新型模式。</w:t>
      </w:r>
      <w:r>
        <w:rPr>
          <w:rFonts w:hint="eastAsia" w:ascii="仿宋_GB2312" w:hAnsi="仿宋_GB2312" w:eastAsia="仿宋_GB2312" w:cs="仿宋_GB2312"/>
          <w:sz w:val="32"/>
          <w:szCs w:val="32"/>
          <w:highlight w:val="none"/>
          <w:lang w:val="en-US" w:eastAsia="zh-CN"/>
        </w:rPr>
        <w:t>遴选推荐平江县、临湘市为全省“三新”集成示范项目县，整乡整村推广“三新”配套集成科学施肥增效模式。临湘市推广水稻3种“三新”配套技术模式，创建了2个万亩核心示范片、11个千亩核心示范方。平江县推广茶果经济作物3种“三新”配套技术模式，创建了3个千亩核心示范方。岳阳“三新”工作在第25届全国肥料双交会湖南展馆向全国推介。通过以上方式，顺利通过省级环保督察和中央环保督察。</w:t>
      </w:r>
      <w:r>
        <w:rPr>
          <w:rFonts w:hint="eastAsia" w:ascii="仿宋_GB2312" w:hAnsi="仿宋_GB2312" w:eastAsia="仿宋_GB2312" w:cs="仿宋_GB2312"/>
          <w:b/>
          <w:bCs/>
          <w:kern w:val="2"/>
          <w:sz w:val="32"/>
          <w:szCs w:val="32"/>
          <w:lang w:val="en-US" w:eastAsia="zh-CN" w:bidi="ar-SA"/>
        </w:rPr>
        <w:t>三是以质量监管与包装废弃物回收相融合，完成农药管理任务。</w:t>
      </w:r>
      <w:r>
        <w:rPr>
          <w:rFonts w:hint="eastAsia" w:ascii="仿宋_GB2312" w:hAnsi="仿宋_GB2312" w:eastAsia="仿宋_GB2312" w:cs="仿宋_GB2312"/>
          <w:sz w:val="32"/>
          <w:szCs w:val="32"/>
          <w:lang w:val="en-US" w:eastAsia="zh-CN"/>
        </w:rPr>
        <w:t>按照“双随机”监督抽查原则，例行抽查与专项抽查相结合的方式，严格按抽查要求，在华容县、君山区、云溪区和经开区抽取11家农药经营单位或生产企业，共计45批次农药抽样样品送省进行检验，做到主要农药品类全覆盖，主要销售渠道全覆盖。</w:t>
      </w:r>
      <w:r>
        <w:rPr>
          <w:rFonts w:hint="eastAsia" w:ascii="仿宋_GB2312" w:hAnsi="仿宋_GB2312" w:eastAsia="仿宋_GB2312" w:cs="仿宋_GB2312"/>
          <w:color w:val="000000"/>
          <w:kern w:val="2"/>
          <w:sz w:val="32"/>
          <w:szCs w:val="32"/>
          <w:lang w:val="en-US" w:eastAsia="zh-CN" w:bidi="ar-SA"/>
        </w:rPr>
        <w:t>按照属地管地原则，指导农药生产者、农药经营者和农药使用者依法履行农药包装废弃物回收处理义务，组织</w:t>
      </w:r>
      <w:r>
        <w:rPr>
          <w:rFonts w:hint="eastAsia" w:ascii="仿宋_GB2312" w:hAnsi="仿宋_GB2312" w:eastAsia="仿宋_GB2312" w:cs="仿宋_GB2312"/>
          <w:kern w:val="2"/>
          <w:sz w:val="32"/>
          <w:szCs w:val="32"/>
          <w:lang w:val="en-US" w:eastAsia="zh-CN" w:bidi="ar-SA"/>
        </w:rPr>
        <w:t>开展督促检查全市回收率达81.93%，各县市区回收率均达到省定要求的75%以上。</w:t>
      </w:r>
    </w:p>
    <w:p w14:paraId="06562323">
      <w:pPr>
        <w:keepNext w:val="0"/>
        <w:keepLines w:val="0"/>
        <w:pageBreakBefore w:val="0"/>
        <w:widowControl w:val="0"/>
        <w:kinsoku/>
        <w:wordWrap/>
        <w:overflowPunct/>
        <w:topLinePunct w:val="0"/>
        <w:autoSpaceDE/>
        <w:autoSpaceDN/>
        <w:bidi w:val="0"/>
        <w:adjustRightInd w:val="0"/>
        <w:snapToGrid w:val="0"/>
        <w:spacing w:line="520" w:lineRule="atLeast"/>
        <w:ind w:firstLine="720" w:firstLineChars="200"/>
        <w:jc w:val="both"/>
        <w:textAlignment w:val="auto"/>
        <w:rPr>
          <w:rFonts w:hint="default"/>
          <w:lang w:val="en-US" w:eastAsia="zh-CN"/>
        </w:rPr>
      </w:pPr>
      <w:r>
        <w:rPr>
          <w:rFonts w:hint="eastAsia" w:ascii="黑体" w:hAnsi="黑体" w:eastAsia="黑体" w:cs="黑体"/>
          <w:b w:val="0"/>
          <w:bCs w:val="0"/>
          <w:color w:val="auto"/>
          <w:sz w:val="36"/>
          <w:szCs w:val="36"/>
          <w:lang w:val="en-US" w:eastAsia="zh-CN"/>
        </w:rPr>
        <w:t>五、补齐短板，不断加强农机新技术推广服务。</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汨罗市罗江镇芈九武农业合作社建立“稻+再+油”机械化种植模式试验示范项目，示范面积100亩。在再生稻传统生产的基础上，探索机械化高产高效栽植模式，开展再生稻宽窄行机抛秧与头季机械化收获试验示范，有效降低碾压率，破解再生稻头季机收难题。</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在配合省农机中心开展一季稻区水稻机械有序精量穴播技术应用试点工作中，</w:t>
      </w:r>
      <w:r>
        <w:rPr>
          <w:rFonts w:hint="eastAsia" w:ascii="仿宋_GB2312" w:hAnsi="仿宋_GB2312" w:eastAsia="仿宋_GB2312" w:cs="仿宋_GB2312"/>
          <w:kern w:val="2"/>
          <w:sz w:val="32"/>
          <w:szCs w:val="32"/>
          <w:lang w:val="en-US" w:eastAsia="zh-CN" w:bidi="ar-SA"/>
        </w:rPr>
        <w:t>我市湘阴县、岳阳县、屈原管理区、华容县、临湘市成为全省一季稻区水稻机械有序精量穴播技术应用</w:t>
      </w:r>
      <w:r>
        <w:rPr>
          <w:rFonts w:hint="eastAsia" w:ascii="Times New Roman" w:hAnsi="Times New Roman" w:eastAsia="仿宋_GB2312"/>
          <w:color w:val="auto"/>
          <w:sz w:val="32"/>
          <w:szCs w:val="32"/>
          <w:lang w:val="en-US" w:eastAsia="zh-CN"/>
        </w:rPr>
        <w:t>试点</w:t>
      </w:r>
      <w:r>
        <w:rPr>
          <w:rFonts w:hint="eastAsia" w:ascii="仿宋_GB2312" w:hAnsi="仿宋_GB2312" w:eastAsia="仿宋_GB2312" w:cs="仿宋_GB2312"/>
          <w:kern w:val="2"/>
          <w:sz w:val="32"/>
          <w:szCs w:val="32"/>
          <w:lang w:val="en-US" w:eastAsia="zh-CN" w:bidi="ar-SA"/>
        </w:rPr>
        <w:t>县。为确保该项目顺利实施，农机事务部紧盯项目县实施主体、技术人员培训、机具保障与购置等重要环节，确保项目顺利推进，指导各试点县完成机收测产工作。该项目的</w:t>
      </w:r>
      <w:r>
        <w:rPr>
          <w:rFonts w:hint="eastAsia" w:ascii="Times New Roman" w:hAnsi="Times New Roman" w:eastAsia="仿宋_GB2312"/>
          <w:color w:val="auto"/>
          <w:sz w:val="32"/>
          <w:szCs w:val="32"/>
          <w:lang w:val="en-US" w:eastAsia="zh-CN"/>
        </w:rPr>
        <w:t>主攻水稻生产机械化薄弱环节，</w:t>
      </w:r>
      <w:r>
        <w:rPr>
          <w:rFonts w:hint="eastAsia" w:ascii="Times New Roman" w:hAnsi="Times New Roman" w:eastAsia="仿宋_GB2312" w:cs="仿宋_GB2312"/>
          <w:color w:val="auto"/>
          <w:sz w:val="32"/>
          <w:szCs w:val="32"/>
          <w:lang w:val="en-US" w:eastAsia="zh-CN"/>
        </w:rPr>
        <w:t>进一步探索水稻机械化栽植新途径。</w:t>
      </w:r>
    </w:p>
    <w:p w14:paraId="2E69B6A0">
      <w:pPr>
        <w:keepNext w:val="0"/>
        <w:keepLines w:val="0"/>
        <w:pageBreakBefore w:val="0"/>
        <w:widowControl w:val="0"/>
        <w:numPr>
          <w:ilvl w:val="0"/>
          <w:numId w:val="0"/>
        </w:numPr>
        <w:kinsoku/>
        <w:wordWrap/>
        <w:overflowPunct/>
        <w:topLinePunct w:val="0"/>
        <w:autoSpaceDE/>
        <w:autoSpaceDN/>
        <w:bidi w:val="0"/>
        <w:spacing w:line="52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rPr>
        <w:t>为解决育秧难题，我中心</w:t>
      </w:r>
      <w:r>
        <w:rPr>
          <w:rFonts w:hint="eastAsia" w:ascii="仿宋_GB2312" w:hAnsi="仿宋_GB2312" w:eastAsia="仿宋_GB2312" w:cs="仿宋_GB2312"/>
          <w:sz w:val="32"/>
          <w:szCs w:val="32"/>
          <w:lang w:eastAsia="zh-CN"/>
        </w:rPr>
        <w:t>农机事务部</w:t>
      </w:r>
      <w:r>
        <w:rPr>
          <w:rFonts w:hint="eastAsia" w:ascii="仿宋_GB2312" w:hAnsi="仿宋_GB2312" w:eastAsia="仿宋_GB2312" w:cs="仿宋_GB2312"/>
          <w:sz w:val="32"/>
          <w:szCs w:val="32"/>
        </w:rPr>
        <w:t>在岳阳县岳军农机合作社推广一种新型具有蓄水功能的钵毯苗育秧硬盘，由于排水孔位于钵体底部凸台上，秧苗不易通过排水孔向下扎根，能充分盘根于钵体中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对秧苗浇灌时，水能储存在钵体底部边壁与凸台中间，起到蓄水作用</w:t>
      </w:r>
      <w:r>
        <w:rPr>
          <w:rFonts w:hint="eastAsia" w:ascii="仿宋_GB2312" w:hAnsi="仿宋_GB2312" w:eastAsia="仿宋_GB2312" w:cs="仿宋_GB2312"/>
          <w:sz w:val="32"/>
          <w:szCs w:val="32"/>
          <w:lang w:eastAsia="zh-CN"/>
        </w:rPr>
        <w:t>，并申请了该秧盘的专利</w:t>
      </w:r>
      <w:r>
        <w:rPr>
          <w:rFonts w:hint="eastAsia" w:ascii="仿宋_GB2312" w:hAnsi="仿宋_GB2312" w:eastAsia="仿宋_GB2312" w:cs="仿宋_GB2312"/>
          <w:sz w:val="32"/>
          <w:szCs w:val="32"/>
        </w:rPr>
        <w:t>。</w:t>
      </w:r>
    </w:p>
    <w:p w14:paraId="5E53F9B1">
      <w:pPr>
        <w:pStyle w:val="11"/>
        <w:keepNext w:val="0"/>
        <w:keepLines w:val="0"/>
        <w:pageBreakBefore w:val="0"/>
        <w:widowControl w:val="0"/>
        <w:numPr>
          <w:ilvl w:val="0"/>
          <w:numId w:val="0"/>
        </w:numPr>
        <w:kinsoku/>
        <w:wordWrap/>
        <w:overflowPunct/>
        <w:topLinePunct w:val="0"/>
        <w:autoSpaceDE/>
        <w:autoSpaceDN/>
        <w:bidi w:val="0"/>
        <w:spacing w:line="520" w:lineRule="atLeast"/>
        <w:ind w:firstLine="720" w:firstLineChars="200"/>
        <w:textAlignment w:val="auto"/>
        <w:rPr>
          <w:rStyle w:val="10"/>
          <w:rFonts w:hint="eastAsia" w:ascii="仿宋_GB2312" w:hAnsi="仿宋_GB2312" w:eastAsia="仿宋_GB2312" w:cs="仿宋_GB2312"/>
          <w:color w:val="000000"/>
          <w:kern w:val="2"/>
          <w:sz w:val="32"/>
          <w:szCs w:val="32"/>
          <w:lang w:val="en-US" w:eastAsia="zh-CN" w:bidi="ar-SA"/>
        </w:rPr>
      </w:pPr>
      <w:r>
        <w:rPr>
          <w:rFonts w:hint="eastAsia" w:ascii="黑体" w:hAnsi="黑体" w:eastAsia="黑体" w:cs="黑体"/>
          <w:b w:val="0"/>
          <w:bCs w:val="0"/>
          <w:color w:val="auto"/>
          <w:kern w:val="2"/>
          <w:sz w:val="36"/>
          <w:szCs w:val="36"/>
          <w:lang w:val="en-US" w:eastAsia="zh-CN" w:bidi="ar-SA"/>
        </w:rPr>
        <w:t>六、夯实基层，发挥农广校培训</w:t>
      </w:r>
      <w:r>
        <w:rPr>
          <w:rFonts w:hint="default" w:ascii="黑体" w:hAnsi="黑体" w:eastAsia="黑体" w:cs="黑体"/>
          <w:b w:val="0"/>
          <w:bCs w:val="0"/>
          <w:color w:val="auto"/>
          <w:kern w:val="2"/>
          <w:sz w:val="36"/>
          <w:szCs w:val="36"/>
          <w:lang w:val="en-US" w:eastAsia="zh-CN" w:bidi="ar-SA"/>
        </w:rPr>
        <w:t>阵地作用</w:t>
      </w:r>
      <w:r>
        <w:rPr>
          <w:rFonts w:hint="eastAsia" w:ascii="黑体" w:hAnsi="黑体" w:eastAsia="黑体" w:cs="黑体"/>
          <w:b w:val="0"/>
          <w:bCs w:val="0"/>
          <w:color w:val="auto"/>
          <w:kern w:val="2"/>
          <w:sz w:val="36"/>
          <w:szCs w:val="36"/>
          <w:lang w:val="en-US" w:eastAsia="zh-CN" w:bidi="ar-SA"/>
        </w:rPr>
        <w:t>。</w:t>
      </w:r>
      <w:r>
        <w:rPr>
          <w:rFonts w:hint="eastAsia" w:ascii="仿宋_GB2312" w:hAnsi="仿宋" w:eastAsia="仿宋_GB2312" w:cs="Times New Roman"/>
          <w:color w:val="auto"/>
          <w:kern w:val="2"/>
          <w:sz w:val="32"/>
          <w:szCs w:val="32"/>
          <w:lang w:val="en-US" w:eastAsia="zh-CN" w:bidi="ar-SA"/>
        </w:rPr>
        <w:t>市农广校</w:t>
      </w:r>
      <w:r>
        <w:rPr>
          <w:rFonts w:hint="eastAsia" w:ascii="仿宋_GB2312" w:hAnsi="仿宋" w:eastAsia="仿宋_GB2312" w:cs="Times New Roman"/>
          <w:b/>
          <w:bCs/>
          <w:color w:val="auto"/>
          <w:kern w:val="2"/>
          <w:sz w:val="32"/>
          <w:szCs w:val="32"/>
          <w:lang w:val="en-US" w:eastAsia="zh-CN" w:bidi="ar-SA"/>
        </w:rPr>
        <w:t>一是</w:t>
      </w:r>
      <w:r>
        <w:rPr>
          <w:rFonts w:hint="eastAsia" w:ascii="仿宋_GB2312" w:hAnsi="仿宋" w:eastAsia="仿宋_GB2312" w:cs="Times New Roman"/>
          <w:color w:val="auto"/>
          <w:kern w:val="2"/>
          <w:sz w:val="32"/>
          <w:szCs w:val="32"/>
          <w:lang w:val="en-US" w:eastAsia="zh-CN" w:bidi="ar-SA"/>
        </w:rPr>
        <w:t>分别在</w:t>
      </w:r>
      <w:r>
        <w:rPr>
          <w:rFonts w:hint="eastAsia" w:ascii="仿宋_GB2312" w:hAnsi="仿宋_GB2312" w:eastAsia="仿宋_GB2312" w:cs="仿宋_GB2312"/>
          <w:sz w:val="32"/>
          <w:szCs w:val="32"/>
          <w:lang w:val="en-US" w:eastAsia="zh-CN"/>
        </w:rPr>
        <w:t>汨罗市举办市水稻产业发展</w:t>
      </w:r>
      <w:r>
        <w:rPr>
          <w:rFonts w:hint="eastAsia" w:ascii="仿宋_GB2312" w:hAnsi="仿宋_GB2312" w:eastAsia="仿宋_GB2312" w:cs="仿宋_GB2312"/>
          <w:sz w:val="32"/>
          <w:szCs w:val="32"/>
          <w:lang w:eastAsia="zh-CN"/>
        </w:rPr>
        <w:t>带头人培训班、</w:t>
      </w:r>
      <w:r>
        <w:rPr>
          <w:rFonts w:hint="eastAsia" w:ascii="仿宋_GB2312" w:hAnsi="仿宋_GB2312" w:eastAsia="仿宋_GB2312" w:cs="仿宋_GB2312"/>
          <w:sz w:val="32"/>
          <w:szCs w:val="32"/>
          <w:lang w:val="en-US" w:eastAsia="zh-CN"/>
        </w:rPr>
        <w:t>在</w:t>
      </w:r>
      <w:r>
        <w:rPr>
          <w:rFonts w:hint="eastAsia" w:ascii="仿宋_GB2312" w:hAnsi="仿宋" w:eastAsia="仿宋_GB2312"/>
          <w:color w:val="auto"/>
          <w:sz w:val="32"/>
          <w:szCs w:val="32"/>
          <w:lang w:eastAsia="zh-CN"/>
        </w:rPr>
        <w:t>湘阴县举办</w:t>
      </w:r>
      <w:r>
        <w:rPr>
          <w:rStyle w:val="10"/>
          <w:rFonts w:hint="eastAsia" w:eastAsia="仿宋_GB2312"/>
          <w:color w:val="auto"/>
          <w:sz w:val="32"/>
          <w:szCs w:val="32"/>
          <w:lang w:val="en-US" w:eastAsia="zh-CN"/>
        </w:rPr>
        <w:t>市</w:t>
      </w:r>
      <w:r>
        <w:rPr>
          <w:rStyle w:val="10"/>
          <w:rFonts w:hint="eastAsia" w:ascii="仿宋_GB2312" w:hAnsi="仿宋_GB2312" w:eastAsia="仿宋_GB2312" w:cs="仿宋_GB2312"/>
          <w:sz w:val="32"/>
          <w:szCs w:val="32"/>
        </w:rPr>
        <w:t>蔬菜产业发展带头人培训班</w:t>
      </w:r>
      <w:r>
        <w:rPr>
          <w:rStyle w:val="10"/>
          <w:rFonts w:hint="eastAsia" w:ascii="仿宋_GB2312" w:hAnsi="仿宋_GB2312" w:eastAsia="仿宋_GB2312" w:cs="仿宋_GB2312"/>
          <w:sz w:val="32"/>
          <w:szCs w:val="32"/>
          <w:lang w:eastAsia="zh-CN"/>
        </w:rPr>
        <w:t>、</w:t>
      </w:r>
      <w:r>
        <w:rPr>
          <w:rStyle w:val="10"/>
          <w:rFonts w:hint="eastAsia" w:ascii="仿宋_GB2312" w:hAnsi="仿宋_GB2312" w:eastAsia="仿宋_GB2312" w:cs="仿宋_GB2312"/>
          <w:sz w:val="32"/>
          <w:szCs w:val="32"/>
          <w:lang w:val="en-US" w:eastAsia="zh-CN"/>
        </w:rPr>
        <w:t>在岳阳县举办</w:t>
      </w:r>
      <w:r>
        <w:rPr>
          <w:rFonts w:hint="default"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lang w:val="en-US" w:eastAsia="zh-CN"/>
        </w:rPr>
        <w:t>茶叶产业发展带头人培训班、在临湘市</w:t>
      </w:r>
      <w:r>
        <w:rPr>
          <w:rStyle w:val="10"/>
          <w:rFonts w:hint="eastAsia" w:ascii="仿宋_GB2312" w:hAnsi="仿宋_GB2312" w:eastAsia="仿宋_GB2312" w:cs="仿宋_GB2312"/>
          <w:sz w:val="32"/>
          <w:szCs w:val="32"/>
          <w:lang w:val="en-US" w:eastAsia="zh-CN"/>
        </w:rPr>
        <w:t>举办</w:t>
      </w:r>
      <w:r>
        <w:rPr>
          <w:rFonts w:hint="default" w:ascii="仿宋_GB2312" w:hAnsi="仿宋_GB2312" w:eastAsia="仿宋_GB2312" w:cs="仿宋_GB2312"/>
          <w:sz w:val="32"/>
          <w:szCs w:val="32"/>
          <w:lang w:val="en-US" w:eastAsia="zh-CN"/>
        </w:rPr>
        <w:t>市</w:t>
      </w:r>
      <w:r>
        <w:rPr>
          <w:rFonts w:hint="eastAsia" w:ascii="仿宋_GB2312" w:hAnsi="仿宋_GB2312" w:eastAsia="仿宋_GB2312" w:cs="仿宋_GB2312"/>
          <w:color w:val="auto"/>
          <w:sz w:val="32"/>
          <w:szCs w:val="32"/>
          <w:lang w:val="en-US" w:eastAsia="zh-CN"/>
        </w:rPr>
        <w:t>畜牧养殖产业发展带头人</w:t>
      </w:r>
      <w:r>
        <w:rPr>
          <w:rFonts w:hint="eastAsia" w:ascii="仿宋_GB2312" w:hAnsi="仿宋_GB2312" w:eastAsia="仿宋_GB2312" w:cs="仿宋_GB2312"/>
          <w:color w:val="auto"/>
          <w:sz w:val="32"/>
          <w:szCs w:val="32"/>
        </w:rPr>
        <w:t>培训班</w:t>
      </w:r>
      <w:r>
        <w:rPr>
          <w:rFonts w:hint="eastAsia" w:ascii="仿宋_GB2312" w:hAnsi="仿宋_GB2312" w:eastAsia="仿宋_GB2312" w:cs="仿宋_GB2312"/>
          <w:color w:val="auto"/>
          <w:sz w:val="32"/>
          <w:szCs w:val="32"/>
          <w:lang w:eastAsia="zh-CN"/>
        </w:rPr>
        <w:t>，共</w:t>
      </w:r>
      <w:r>
        <w:rPr>
          <w:rFonts w:hint="eastAsia" w:ascii="仿宋_GB2312" w:hAnsi="仿宋" w:eastAsia="仿宋_GB2312" w:cs="Times New Roman"/>
          <w:color w:val="auto"/>
          <w:kern w:val="2"/>
          <w:sz w:val="32"/>
          <w:szCs w:val="32"/>
          <w:lang w:val="en-US" w:eastAsia="zh-CN" w:bidi="ar-SA"/>
        </w:rPr>
        <w:t>四期</w:t>
      </w:r>
      <w:r>
        <w:rPr>
          <w:rFonts w:hint="eastAsia" w:ascii="仿宋_GB2312" w:hAnsi="仿宋_GB2312" w:eastAsia="仿宋_GB2312" w:cs="仿宋_GB2312"/>
          <w:b w:val="0"/>
          <w:bCs w:val="0"/>
          <w:color w:val="auto"/>
          <w:sz w:val="32"/>
          <w:szCs w:val="32"/>
          <w:lang w:val="en-US" w:eastAsia="zh-CN"/>
        </w:rPr>
        <w:t>累计培训340余人；</w:t>
      </w:r>
      <w:r>
        <w:rPr>
          <w:rFonts w:hint="eastAsia" w:ascii="仿宋_GB2312" w:hAnsi="仿宋_GB2312" w:eastAsia="仿宋_GB2312" w:cs="仿宋_GB2312"/>
          <w:b/>
          <w:bCs/>
          <w:color w:val="auto"/>
          <w:sz w:val="32"/>
          <w:szCs w:val="32"/>
          <w:lang w:val="en-US" w:eastAsia="zh-CN"/>
        </w:rPr>
        <w:t>二是</w:t>
      </w:r>
      <w:r>
        <w:rPr>
          <w:rStyle w:val="10"/>
          <w:rFonts w:hint="eastAsia" w:ascii="仿宋_GB2312" w:hAnsi="仿宋_GB2312" w:eastAsia="仿宋_GB2312" w:cs="仿宋_GB2312"/>
          <w:color w:val="000000"/>
          <w:kern w:val="2"/>
          <w:sz w:val="32"/>
          <w:szCs w:val="32"/>
          <w:lang w:val="en-US" w:eastAsia="zh-CN" w:bidi="ar-SA"/>
        </w:rPr>
        <w:t>在10、11、12月</w:t>
      </w:r>
      <w:r>
        <w:rPr>
          <w:rFonts w:hint="eastAsia" w:ascii="仿宋_GB2312" w:hAnsi="仿宋_GB2312" w:eastAsia="仿宋_GB2312" w:cs="仿宋_GB2312"/>
          <w:b w:val="0"/>
          <w:bCs w:val="0"/>
          <w:color w:val="auto"/>
          <w:sz w:val="32"/>
          <w:szCs w:val="32"/>
          <w:lang w:val="en-US" w:eastAsia="zh-CN"/>
        </w:rPr>
        <w:t>分别举办了</w:t>
      </w:r>
      <w:r>
        <w:rPr>
          <w:rStyle w:val="10"/>
          <w:rFonts w:hint="eastAsia" w:ascii="仿宋_GB2312" w:hAnsi="仿宋_GB2312" w:eastAsia="仿宋_GB2312" w:cs="仿宋_GB2312"/>
          <w:color w:val="000000"/>
          <w:kern w:val="2"/>
          <w:sz w:val="32"/>
          <w:szCs w:val="32"/>
          <w:lang w:val="en-US" w:eastAsia="zh-CN" w:bidi="ar-SA"/>
        </w:rPr>
        <w:t>岳阳市农村创新创业人才培训</w:t>
      </w:r>
      <w:r>
        <w:rPr>
          <w:rFonts w:hint="eastAsia" w:ascii="仿宋_GB2312" w:hAnsi="仿宋_GB2312" w:eastAsia="仿宋_GB2312" w:cs="仿宋_GB2312"/>
          <w:b w:val="0"/>
          <w:bCs w:val="0"/>
          <w:color w:val="auto"/>
          <w:sz w:val="32"/>
          <w:szCs w:val="32"/>
          <w:lang w:val="en-US" w:eastAsia="zh-CN"/>
        </w:rPr>
        <w:t>班、岳阳市粮油作物生产能力提升培训班、岳阳市新型农业经营主体粮食产业发展能力提升培训班共三期高素质农民培训班</w:t>
      </w:r>
      <w:r>
        <w:rPr>
          <w:rStyle w:val="10"/>
          <w:rFonts w:hint="eastAsia" w:ascii="仿宋_GB2312" w:hAnsi="仿宋_GB2312" w:eastAsia="仿宋_GB2312" w:cs="仿宋_GB2312"/>
          <w:color w:val="000000"/>
          <w:kern w:val="2"/>
          <w:sz w:val="32"/>
          <w:szCs w:val="32"/>
          <w:lang w:val="en-US" w:eastAsia="zh-CN" w:bidi="ar-SA"/>
        </w:rPr>
        <w:t>，</w:t>
      </w:r>
      <w:r>
        <w:rPr>
          <w:rFonts w:hint="eastAsia" w:ascii="仿宋_GB2312" w:hAnsi="仿宋_GB2312" w:eastAsia="仿宋_GB2312" w:cs="仿宋_GB2312"/>
          <w:b w:val="0"/>
          <w:bCs w:val="0"/>
          <w:color w:val="auto"/>
          <w:sz w:val="32"/>
          <w:szCs w:val="32"/>
          <w:lang w:val="en-US" w:eastAsia="zh-CN"/>
        </w:rPr>
        <w:t>累计培训170余人。</w:t>
      </w:r>
      <w:r>
        <w:rPr>
          <w:rStyle w:val="10"/>
          <w:rFonts w:hint="eastAsia" w:ascii="仿宋_GB2312" w:hAnsi="仿宋_GB2312" w:eastAsia="仿宋_GB2312" w:cs="仿宋_GB2312"/>
          <w:b/>
          <w:bCs/>
          <w:color w:val="000000"/>
          <w:kern w:val="2"/>
          <w:sz w:val="32"/>
          <w:szCs w:val="32"/>
          <w:lang w:val="en-US" w:eastAsia="zh-CN" w:bidi="ar-SA"/>
        </w:rPr>
        <w:t>三是</w:t>
      </w:r>
      <w:r>
        <w:rPr>
          <w:rStyle w:val="10"/>
          <w:rFonts w:hint="eastAsia" w:ascii="仿宋_GB2312" w:hAnsi="仿宋_GB2312" w:eastAsia="仿宋_GB2312" w:cs="仿宋_GB2312"/>
          <w:color w:val="000000"/>
          <w:kern w:val="2"/>
          <w:sz w:val="32"/>
          <w:szCs w:val="32"/>
          <w:lang w:val="en-US" w:eastAsia="zh-CN" w:bidi="ar-SA"/>
        </w:rPr>
        <w:t>在11月举办了市局帮扶科2024年岳阳市农村电商直播带货能力提升培训班，</w:t>
      </w:r>
      <w:r>
        <w:rPr>
          <w:rFonts w:hint="eastAsia" w:ascii="仿宋_GB2312" w:hAnsi="仿宋_GB2312" w:eastAsia="仿宋_GB2312" w:cs="仿宋_GB2312"/>
          <w:b w:val="0"/>
          <w:bCs w:val="0"/>
          <w:color w:val="auto"/>
          <w:sz w:val="32"/>
          <w:szCs w:val="32"/>
          <w:lang w:val="en-US" w:eastAsia="zh-CN"/>
        </w:rPr>
        <w:t>累计培训250余人。</w:t>
      </w:r>
      <w:r>
        <w:rPr>
          <w:rStyle w:val="10"/>
          <w:rFonts w:hint="eastAsia" w:ascii="仿宋_GB2312" w:hAnsi="仿宋_GB2312" w:eastAsia="仿宋_GB2312" w:cs="仿宋_GB2312"/>
          <w:b/>
          <w:bCs/>
          <w:color w:val="000000"/>
          <w:kern w:val="2"/>
          <w:sz w:val="32"/>
          <w:szCs w:val="32"/>
          <w:lang w:val="en-US" w:eastAsia="zh-CN" w:bidi="ar-SA"/>
        </w:rPr>
        <w:t>四是</w:t>
      </w:r>
      <w:r>
        <w:rPr>
          <w:rStyle w:val="10"/>
          <w:rFonts w:hint="eastAsia" w:ascii="仿宋_GB2312" w:hAnsi="仿宋_GB2312" w:eastAsia="仿宋_GB2312" w:cs="仿宋_GB2312"/>
          <w:b w:val="0"/>
          <w:bCs w:val="0"/>
          <w:color w:val="000000"/>
          <w:kern w:val="2"/>
          <w:sz w:val="32"/>
          <w:szCs w:val="32"/>
          <w:lang w:val="en-US" w:eastAsia="zh-CN" w:bidi="ar-SA"/>
        </w:rPr>
        <w:t>协</w:t>
      </w:r>
      <w:r>
        <w:rPr>
          <w:rFonts w:hint="eastAsia" w:ascii="仿宋_GB2312" w:hAnsi="仿宋_GB2312" w:eastAsia="仿宋_GB2312" w:cs="仿宋_GB2312"/>
          <w:b w:val="0"/>
          <w:bCs w:val="0"/>
          <w:color w:val="auto"/>
          <w:sz w:val="32"/>
          <w:szCs w:val="32"/>
          <w:lang w:val="en-US" w:eastAsia="zh-CN"/>
        </w:rPr>
        <w:t>助市局科教科及中心种植业科开展好岳阳市非农专业在编基层农技人员培训工作，累计培训各县市区种植业方向50人，将基层农技推广队伍打造成高效服务乡村振兴的骨干力量。</w:t>
      </w:r>
      <w:r>
        <w:rPr>
          <w:rFonts w:hint="eastAsia" w:ascii="仿宋_GB2312" w:hAnsi="仿宋_GB2312" w:eastAsia="仿宋_GB2312" w:cs="仿宋_GB2312"/>
          <w:b/>
          <w:bCs/>
          <w:color w:val="auto"/>
          <w:sz w:val="32"/>
          <w:szCs w:val="32"/>
          <w:lang w:eastAsia="zh-CN"/>
        </w:rPr>
        <w:t>五是</w:t>
      </w:r>
      <w:r>
        <w:rPr>
          <w:rFonts w:hint="eastAsia" w:ascii="仿宋_GB2312" w:hAnsi="仿宋_GB2312" w:eastAsia="仿宋_GB2312" w:cs="仿宋_GB2312"/>
          <w:b w:val="0"/>
          <w:bCs w:val="0"/>
          <w:color w:val="auto"/>
          <w:kern w:val="2"/>
          <w:sz w:val="32"/>
          <w:szCs w:val="32"/>
          <w:lang w:val="en-US" w:eastAsia="zh-CN" w:bidi="ar-SA"/>
        </w:rPr>
        <w:t>组织好“三农”干部省外培训。10月，组织由各县市区省级</w:t>
      </w:r>
      <w:r>
        <w:rPr>
          <w:rFonts w:hint="eastAsia" w:ascii="仿宋_GB2312" w:hAnsi="仿宋" w:eastAsia="仿宋_GB2312" w:cs="Times New Roman"/>
          <w:color w:val="auto"/>
          <w:sz w:val="32"/>
          <w:szCs w:val="32"/>
          <w:lang w:val="en-US" w:eastAsia="zh-CN"/>
        </w:rPr>
        <w:t>农民田间学校校长及省级农民田间学校所在县（市、区）农广校的校长或副校长共计14人参加了“三农”干部走出去培训班（省外第一、二期），培训地点在浙江大学继续教育学院。</w:t>
      </w:r>
      <w:r>
        <w:rPr>
          <w:rFonts w:hint="eastAsia" w:ascii="仿宋_GB2312" w:hAnsi="仿宋" w:eastAsia="仿宋_GB2312" w:cs="Times New Roman"/>
          <w:b/>
          <w:bCs/>
          <w:color w:val="auto"/>
          <w:sz w:val="32"/>
          <w:szCs w:val="32"/>
          <w:lang w:val="en-US" w:eastAsia="zh-CN"/>
        </w:rPr>
        <w:t>四是</w:t>
      </w:r>
      <w:r>
        <w:rPr>
          <w:rFonts w:hint="eastAsia" w:ascii="仿宋_GB2312" w:hAnsi="仿宋_GB2312" w:eastAsia="仿宋_GB2312" w:cs="仿宋_GB2312"/>
          <w:b w:val="0"/>
          <w:bCs w:val="0"/>
          <w:color w:val="auto"/>
          <w:sz w:val="32"/>
          <w:szCs w:val="32"/>
          <w:lang w:eastAsia="zh-CN"/>
        </w:rPr>
        <w:t>组织农民体育运动</w:t>
      </w:r>
      <w:r>
        <w:rPr>
          <w:rFonts w:hint="eastAsia" w:ascii="仿宋_GB2312" w:hAnsi="仿宋_GB2312" w:eastAsia="仿宋_GB2312" w:cs="仿宋_GB2312"/>
          <w:b/>
          <w:bCs/>
          <w:color w:val="auto"/>
          <w:sz w:val="32"/>
          <w:szCs w:val="32"/>
          <w:lang w:eastAsia="zh-CN"/>
        </w:rPr>
        <w:t>。</w:t>
      </w:r>
      <w:r>
        <w:rPr>
          <w:rFonts w:hint="eastAsia" w:ascii="仿宋_GB2312" w:hAnsi="仿宋" w:eastAsia="仿宋_GB2312" w:cs="Times New Roman"/>
          <w:color w:val="auto"/>
          <w:kern w:val="2"/>
          <w:sz w:val="32"/>
          <w:szCs w:val="32"/>
          <w:lang w:val="en-US" w:eastAsia="zh-CN" w:bidi="ar-SA"/>
        </w:rPr>
        <w:t>8月由岳阳县农业广播电视学校组队共计9人参加了2024年全省和美乡村村舞培训班，并获得优秀组织奖和团体三等奖。</w:t>
      </w:r>
      <w:r>
        <w:rPr>
          <w:rStyle w:val="10"/>
          <w:rFonts w:hint="eastAsia" w:ascii="仿宋_GB2312" w:hAnsi="仿宋_GB2312" w:eastAsia="仿宋_GB2312" w:cs="仿宋_GB2312"/>
          <w:color w:val="000000"/>
          <w:kern w:val="2"/>
          <w:sz w:val="32"/>
          <w:szCs w:val="32"/>
          <w:lang w:val="en-US" w:eastAsia="zh-CN" w:bidi="ar-SA"/>
        </w:rPr>
        <w:t>10、11月参加2024年湖南省农民健身气功八段锦指导员培训班，并获得了团体优秀奖。</w:t>
      </w:r>
    </w:p>
    <w:p w14:paraId="4753C593">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720" w:firstLineChars="200"/>
        <w:jc w:val="both"/>
        <w:textAlignment w:val="auto"/>
        <w:rPr>
          <w:rFonts w:hint="default" w:ascii="Times New Roman" w:hAnsi="Times New Roman" w:eastAsia="仿宋_GB2312" w:cs="Times New Roman"/>
          <w:sz w:val="32"/>
          <w:szCs w:val="32"/>
          <w:lang w:val="en-US"/>
        </w:rPr>
      </w:pPr>
      <w:r>
        <w:rPr>
          <w:rFonts w:hint="eastAsia" w:ascii="黑体" w:hAnsi="黑体" w:eastAsia="黑体" w:cs="黑体"/>
          <w:b w:val="0"/>
          <w:bCs w:val="0"/>
          <w:color w:val="auto"/>
          <w:sz w:val="36"/>
          <w:szCs w:val="36"/>
          <w:lang w:val="en-US" w:eastAsia="zh-CN"/>
        </w:rPr>
        <w:t>七、</w:t>
      </w:r>
      <w:r>
        <w:rPr>
          <w:rFonts w:hint="default" w:ascii="黑体" w:hAnsi="黑体" w:eastAsia="黑体" w:cs="黑体"/>
          <w:b w:val="0"/>
          <w:bCs w:val="0"/>
          <w:color w:val="auto"/>
          <w:sz w:val="36"/>
          <w:szCs w:val="36"/>
          <w:lang w:val="en-US" w:eastAsia="zh-CN"/>
        </w:rPr>
        <w:t>有序推进</w:t>
      </w:r>
      <w:r>
        <w:rPr>
          <w:rFonts w:hint="eastAsia" w:ascii="黑体" w:hAnsi="黑体" w:eastAsia="黑体" w:cs="黑体"/>
          <w:b w:val="0"/>
          <w:bCs w:val="0"/>
          <w:color w:val="auto"/>
          <w:sz w:val="36"/>
          <w:szCs w:val="36"/>
          <w:lang w:val="en-US" w:eastAsia="zh-CN"/>
        </w:rPr>
        <w:t>，畜牧水产工作稳中有进。</w:t>
      </w:r>
      <w:r>
        <w:rPr>
          <w:rFonts w:hint="eastAsia" w:ascii="Times New Roman" w:hAnsi="Times New Roman" w:eastAsia="仿宋_GB2312" w:cs="Times New Roman"/>
          <w:b/>
          <w:bCs/>
          <w:kern w:val="2"/>
          <w:sz w:val="32"/>
          <w:szCs w:val="32"/>
          <w:lang w:val="en-US" w:eastAsia="zh-CN" w:bidi="ar-SA"/>
        </w:rPr>
        <w:t>一是</w:t>
      </w:r>
      <w:r>
        <w:rPr>
          <w:rFonts w:hint="default" w:ascii="Times New Roman" w:hAnsi="Times New Roman" w:eastAsia="仿宋_GB2312" w:cs="Times New Roman"/>
          <w:b w:val="0"/>
          <w:bCs w:val="0"/>
          <w:kern w:val="2"/>
          <w:sz w:val="32"/>
          <w:szCs w:val="32"/>
          <w:lang w:val="en-US" w:eastAsia="zh-CN" w:bidi="ar-SA"/>
        </w:rPr>
        <w:t>做实做细</w:t>
      </w:r>
      <w:r>
        <w:rPr>
          <w:rFonts w:hint="eastAsia" w:ascii="Times New Roman" w:hAnsi="Times New Roman" w:eastAsia="仿宋_GB2312" w:cs="Times New Roman"/>
          <w:b w:val="0"/>
          <w:bCs w:val="0"/>
          <w:kern w:val="2"/>
          <w:sz w:val="32"/>
          <w:szCs w:val="32"/>
          <w:lang w:val="en-US" w:eastAsia="zh-CN" w:bidi="ar-SA"/>
        </w:rPr>
        <w:t>了</w:t>
      </w:r>
      <w:r>
        <w:rPr>
          <w:rFonts w:hint="default" w:ascii="Times New Roman" w:hAnsi="Times New Roman" w:eastAsia="仿宋_GB2312" w:cs="Times New Roman"/>
          <w:b w:val="0"/>
          <w:bCs w:val="0"/>
          <w:kern w:val="2"/>
          <w:sz w:val="32"/>
          <w:szCs w:val="32"/>
          <w:lang w:val="en-US" w:eastAsia="zh-CN" w:bidi="ar-SA"/>
        </w:rPr>
        <w:t>水产品重点品监测工作。</w:t>
      </w:r>
      <w:r>
        <w:rPr>
          <w:rFonts w:hint="default" w:ascii="Times New Roman" w:hAnsi="Times New Roman" w:eastAsia="仿宋_GB2312" w:cs="Times New Roman"/>
          <w:b w:val="0"/>
          <w:bCs w:val="0"/>
          <w:sz w:val="32"/>
          <w:szCs w:val="32"/>
          <w:lang w:val="en-US" w:eastAsia="zh-CN"/>
        </w:rPr>
        <w:t>根据省里统一安排，岳阳市四个重点养殖品种监测县君山区、岳阳县、华容县、湘阴县，51个监测点,共计监测养殖品种12个。</w:t>
      </w:r>
      <w:r>
        <w:rPr>
          <w:rFonts w:hint="default" w:ascii="Times New Roman" w:hAnsi="Times New Roman" w:eastAsia="仿宋" w:cs="Times New Roman"/>
          <w:sz w:val="32"/>
          <w:szCs w:val="32"/>
          <w:lang w:val="en-US" w:eastAsia="zh-CN"/>
        </w:rPr>
        <w:t>为渔业养殖结构调整和产业发展方向等政策决策提供基础数据支撑，有力支撑渔业高质量发展。</w:t>
      </w:r>
      <w:r>
        <w:rPr>
          <w:rFonts w:hint="eastAsia" w:ascii="Times New Roman" w:hAnsi="Times New Roman" w:eastAsia="仿宋" w:cs="Times New Roman"/>
          <w:b/>
          <w:bCs/>
          <w:sz w:val="32"/>
          <w:szCs w:val="32"/>
          <w:lang w:val="en-US" w:eastAsia="zh-CN"/>
        </w:rPr>
        <w:t>二是</w:t>
      </w:r>
      <w:r>
        <w:rPr>
          <w:rFonts w:hint="default" w:ascii="Times New Roman" w:hAnsi="Times New Roman" w:eastAsia="仿宋_GB2312" w:cs="Times New Roman"/>
          <w:b w:val="0"/>
          <w:bCs w:val="0"/>
          <w:sz w:val="32"/>
          <w:szCs w:val="32"/>
        </w:rPr>
        <w:t>认真完成202</w:t>
      </w:r>
      <w:r>
        <w:rPr>
          <w:rFonts w:hint="eastAsia" w:ascii="Times New Roman" w:hAnsi="Times New Roman" w:eastAsia="仿宋_GB2312" w:cs="Times New Roman"/>
          <w:b w:val="0"/>
          <w:bCs w:val="0"/>
          <w:sz w:val="32"/>
          <w:szCs w:val="32"/>
          <w:lang w:val="en-US" w:eastAsia="zh-CN"/>
        </w:rPr>
        <w:t>4</w:t>
      </w:r>
      <w:r>
        <w:rPr>
          <w:rFonts w:hint="default" w:ascii="Times New Roman" w:hAnsi="Times New Roman" w:eastAsia="仿宋_GB2312" w:cs="Times New Roman"/>
          <w:b w:val="0"/>
          <w:bCs w:val="0"/>
          <w:sz w:val="32"/>
          <w:szCs w:val="32"/>
        </w:rPr>
        <w:t>年全省重大水生动物疫病疫情监测工作</w:t>
      </w:r>
      <w:r>
        <w:rPr>
          <w:rFonts w:hint="default"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sz w:val="32"/>
          <w:szCs w:val="32"/>
          <w:lang w:eastAsia="zh-CN"/>
        </w:rPr>
        <w:t>在</w:t>
      </w:r>
      <w:r>
        <w:rPr>
          <w:rFonts w:hint="default" w:ascii="Times New Roman" w:hAnsi="Times New Roman" w:eastAsia="仿宋_GB2312" w:cs="Times New Roman"/>
          <w:b w:val="0"/>
          <w:bCs w:val="0"/>
          <w:sz w:val="32"/>
          <w:szCs w:val="32"/>
          <w:lang w:val="en-US" w:eastAsia="zh-CN"/>
        </w:rPr>
        <w:t>湘阴县、华容县、岳阳县三个水产大县9个测报点对四大家鱼、小龙虾、鲫鱼、黄颡鱼等开展测报工作</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共监测15</w:t>
      </w:r>
      <w:r>
        <w:rPr>
          <w:rFonts w:hint="eastAsia" w:ascii="Times New Roman" w:hAnsi="Times New Roman" w:eastAsia="仿宋_GB2312" w:cs="Times New Roman"/>
          <w:b w:val="0"/>
          <w:bCs w:val="0"/>
          <w:sz w:val="32"/>
          <w:szCs w:val="32"/>
          <w:lang w:val="en-US" w:eastAsia="zh-CN"/>
        </w:rPr>
        <w:t>10</w:t>
      </w:r>
      <w:r>
        <w:rPr>
          <w:rFonts w:hint="default" w:ascii="Times New Roman" w:hAnsi="Times New Roman" w:eastAsia="仿宋_GB2312" w:cs="Times New Roman"/>
          <w:b w:val="0"/>
          <w:bCs w:val="0"/>
          <w:sz w:val="32"/>
          <w:szCs w:val="32"/>
          <w:lang w:val="en-US" w:eastAsia="zh-CN"/>
        </w:rPr>
        <w:t>公顷水产养殖面积，占三县辖区养殖面积的3.3</w:t>
      </w:r>
      <w:r>
        <w:rPr>
          <w:rFonts w:hint="eastAsia" w:ascii="Times New Roman" w:hAnsi="Times New Roman" w:eastAsia="仿宋_GB2312" w:cs="Times New Roman"/>
          <w:b w:val="0"/>
          <w:bCs w:val="0"/>
          <w:sz w:val="32"/>
          <w:szCs w:val="32"/>
          <w:lang w:val="en-US" w:eastAsia="zh-CN"/>
        </w:rPr>
        <w:t>9</w:t>
      </w:r>
      <w:r>
        <w:rPr>
          <w:rFonts w:hint="default"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bCs/>
          <w:sz w:val="32"/>
          <w:szCs w:val="32"/>
          <w:lang w:val="en-US" w:eastAsia="zh-CN"/>
        </w:rPr>
        <w:t>三是</w:t>
      </w:r>
      <w:r>
        <w:rPr>
          <w:rFonts w:hint="eastAsia" w:ascii="Times New Roman" w:hAnsi="Times New Roman" w:eastAsia="仿宋_GB2312" w:cs="Times New Roman"/>
          <w:b w:val="0"/>
          <w:bCs w:val="0"/>
          <w:sz w:val="32"/>
          <w:szCs w:val="32"/>
          <w:lang w:val="en-US" w:eastAsia="zh-CN"/>
        </w:rPr>
        <w:t>奋力</w:t>
      </w:r>
      <w:r>
        <w:rPr>
          <w:rFonts w:hint="default" w:ascii="Times New Roman" w:hAnsi="Times New Roman" w:eastAsia="仿宋_GB2312" w:cs="Times New Roman"/>
          <w:b w:val="0"/>
          <w:bCs w:val="0"/>
          <w:sz w:val="32"/>
          <w:szCs w:val="32"/>
          <w:lang w:val="en-US" w:eastAsia="zh-CN"/>
        </w:rPr>
        <w:t>推进水生动物疫病防控区域中心建设工作。</w:t>
      </w:r>
      <w:r>
        <w:rPr>
          <w:rFonts w:hint="eastAsia" w:ascii="Times New Roman" w:hAnsi="Times New Roman" w:eastAsia="仿宋_GB2312" w:cs="Times New Roman"/>
          <w:b w:val="0"/>
          <w:bCs w:val="0"/>
          <w:sz w:val="32"/>
          <w:szCs w:val="32"/>
          <w:lang w:val="en-US" w:eastAsia="zh-CN"/>
        </w:rPr>
        <w:t>中心</w:t>
      </w:r>
      <w:r>
        <w:rPr>
          <w:rFonts w:hint="default" w:ascii="Times New Roman" w:hAnsi="Times New Roman" w:eastAsia="仿宋_GB2312" w:cs="Times New Roman"/>
          <w:sz w:val="32"/>
          <w:szCs w:val="32"/>
          <w:lang w:val="en-US" w:eastAsia="zh-CN"/>
        </w:rPr>
        <w:t>项目建设领导小组</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按计划牵头编制完成水生动物疫病防控区域中心建设项目</w:t>
      </w:r>
      <w:r>
        <w:rPr>
          <w:rFonts w:hint="eastAsia" w:ascii="Times New Roman" w:hAnsi="Times New Roman" w:eastAsia="仿宋_GB2312" w:cs="Times New Roman"/>
          <w:sz w:val="32"/>
          <w:szCs w:val="32"/>
          <w:lang w:val="en-US" w:eastAsia="zh-CN"/>
        </w:rPr>
        <w:t>整体</w:t>
      </w:r>
      <w:r>
        <w:rPr>
          <w:rFonts w:hint="default" w:ascii="Times New Roman" w:hAnsi="Times New Roman" w:eastAsia="仿宋_GB2312" w:cs="Times New Roman"/>
          <w:sz w:val="32"/>
          <w:szCs w:val="32"/>
          <w:lang w:val="en-US" w:eastAsia="zh-CN"/>
        </w:rPr>
        <w:t>验收资料</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推动该项目整体</w:t>
      </w:r>
      <w:r>
        <w:rPr>
          <w:rFonts w:hint="eastAsia" w:ascii="Times New Roman" w:hAnsi="Times New Roman" w:eastAsia="仿宋_GB2312" w:cs="Times New Roman"/>
          <w:sz w:val="32"/>
          <w:szCs w:val="32"/>
          <w:lang w:val="en-US" w:eastAsia="zh-CN"/>
        </w:rPr>
        <w:t>验收拟定于今年12月完成验收</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b/>
          <w:bCs/>
          <w:sz w:val="32"/>
          <w:szCs w:val="32"/>
          <w:lang w:val="en-US" w:eastAsia="zh-CN"/>
        </w:rPr>
        <w:t>四是</w:t>
      </w:r>
      <w:r>
        <w:rPr>
          <w:rFonts w:hint="default" w:ascii="Times New Roman" w:hAnsi="Times New Roman" w:eastAsia="仿宋_GB2312" w:cs="Times New Roman"/>
          <w:b/>
          <w:bCs/>
          <w:sz w:val="32"/>
          <w:szCs w:val="32"/>
          <w:lang w:val="en-US" w:eastAsia="zh-CN"/>
        </w:rPr>
        <w:t>争创岳阳先进典型。</w:t>
      </w:r>
      <w:r>
        <w:rPr>
          <w:rFonts w:hint="default" w:ascii="Times New Roman" w:hAnsi="Times New Roman" w:eastAsia="仿宋_GB2312" w:cs="Times New Roman"/>
          <w:kern w:val="2"/>
          <w:sz w:val="32"/>
          <w:szCs w:val="32"/>
          <w:lang w:val="en-US" w:eastAsia="zh-CN" w:bidi="ar-SA"/>
        </w:rPr>
        <w:t>积极</w:t>
      </w:r>
      <w:r>
        <w:rPr>
          <w:rFonts w:hint="eastAsia" w:ascii="Times New Roman" w:hAnsi="Times New Roman" w:eastAsia="仿宋_GB2312" w:cs="Times New Roman"/>
          <w:kern w:val="2"/>
          <w:sz w:val="32"/>
          <w:szCs w:val="32"/>
          <w:lang w:val="en-US" w:eastAsia="zh-CN" w:bidi="ar-SA"/>
        </w:rPr>
        <w:t>组织我市选手参加</w:t>
      </w:r>
      <w:r>
        <w:rPr>
          <w:rFonts w:hint="default" w:ascii="Times New Roman" w:hAnsi="Times New Roman" w:eastAsia="仿宋_GB2312" w:cs="Times New Roman"/>
          <w:kern w:val="2"/>
          <w:sz w:val="32"/>
          <w:szCs w:val="32"/>
          <w:lang w:val="en-US" w:eastAsia="zh-CN" w:bidi="ar-SA"/>
        </w:rPr>
        <w:t>第六届湖南省级职业（水产）技能竞赛，选手表现优异</w:t>
      </w:r>
      <w:r>
        <w:rPr>
          <w:rFonts w:hint="eastAsia" w:ascii="Times New Roman" w:hAnsi="Times New Roman" w:eastAsia="仿宋_GB2312" w:cs="Times New Roman"/>
          <w:kern w:val="2"/>
          <w:sz w:val="32"/>
          <w:szCs w:val="32"/>
          <w:lang w:val="en-US" w:eastAsia="zh-CN" w:bidi="ar-SA"/>
        </w:rPr>
        <w:t>。我市三人参赛，获个人二等奖一人，个人三等奖一人。团队</w:t>
      </w:r>
      <w:r>
        <w:rPr>
          <w:rFonts w:hint="default" w:ascii="Times New Roman" w:hAnsi="Times New Roman" w:eastAsia="仿宋_GB2312" w:cs="Times New Roman"/>
          <w:kern w:val="2"/>
          <w:sz w:val="32"/>
          <w:szCs w:val="32"/>
          <w:lang w:val="en-US" w:eastAsia="zh-CN" w:bidi="ar-SA"/>
        </w:rPr>
        <w:t>总分全省前三，获得优秀团体奖。</w:t>
      </w:r>
    </w:p>
    <w:p w14:paraId="2548E588">
      <w:pPr>
        <w:keepNext w:val="0"/>
        <w:keepLines w:val="0"/>
        <w:pageBreakBefore w:val="0"/>
        <w:widowControl w:val="0"/>
        <w:numPr>
          <w:ilvl w:val="0"/>
          <w:numId w:val="0"/>
        </w:numPr>
        <w:kinsoku/>
        <w:wordWrap/>
        <w:overflowPunct/>
        <w:topLinePunct w:val="0"/>
        <w:autoSpaceDE/>
        <w:autoSpaceDN/>
        <w:bidi w:val="0"/>
        <w:adjustRightInd/>
        <w:snapToGrid/>
        <w:spacing w:beforeAutospacing="0" w:line="520" w:lineRule="atLeast"/>
        <w:ind w:firstLine="720" w:firstLineChars="200"/>
        <w:jc w:val="left"/>
        <w:textAlignment w:val="auto"/>
        <w:rPr>
          <w:rFonts w:hint="eastAsia" w:ascii="仿宋" w:hAnsi="仿宋" w:eastAsia="仿宋" w:cs="仿宋"/>
          <w:sz w:val="32"/>
          <w:szCs w:val="32"/>
          <w:lang w:val="en-US" w:eastAsia="zh-CN"/>
        </w:rPr>
      </w:pPr>
      <w:r>
        <w:rPr>
          <w:rFonts w:hint="eastAsia" w:ascii="黑体" w:hAnsi="黑体" w:eastAsia="黑体" w:cs="黑体"/>
          <w:b w:val="0"/>
          <w:bCs w:val="0"/>
          <w:color w:val="auto"/>
          <w:sz w:val="36"/>
          <w:szCs w:val="36"/>
          <w:lang w:val="en-US" w:eastAsia="zh-CN"/>
        </w:rPr>
        <w:t>八、继续发力，谋篇布局2025年重点工作。</w:t>
      </w:r>
      <w:r>
        <w:rPr>
          <w:rFonts w:hint="eastAsia" w:ascii="仿宋" w:hAnsi="仿宋" w:eastAsia="仿宋" w:cs="仿宋"/>
          <w:sz w:val="32"/>
          <w:szCs w:val="32"/>
          <w:lang w:val="en-US" w:eastAsia="zh-CN"/>
        </w:rPr>
        <w:t>2025年，我中心将在局党组的带领下，继续全面贯彻落实党的二十大和二十届三中全会精神，认真学习贯彻习近平总书记关于党的建设和“三农”工作重要论述、重要讲话、重要指示批示精神，把牢“围绕中心、建设队伍、服务群众”的工作定位，坚持政治建设、组织建设、作风建设为重点，强化理论武装，夯实党建基础，进一步加强党建引领业务工作，在来年之前，谋好篇，布好局。</w:t>
      </w:r>
      <w:r>
        <w:rPr>
          <w:rFonts w:hint="eastAsia" w:ascii="仿宋_GB2312" w:hAnsi="仿宋" w:eastAsia="仿宋_GB2312"/>
          <w:b/>
          <w:bCs/>
          <w:color w:val="auto"/>
          <w:sz w:val="32"/>
          <w:szCs w:val="32"/>
        </w:rPr>
        <w:t>一是</w:t>
      </w:r>
      <w:r>
        <w:rPr>
          <w:rFonts w:hint="eastAsia" w:ascii="仿宋_GB2312" w:hAnsi="仿宋" w:eastAsia="仿宋_GB2312"/>
          <w:b/>
          <w:bCs/>
          <w:color w:val="auto"/>
          <w:sz w:val="32"/>
          <w:szCs w:val="32"/>
          <w:lang w:eastAsia="zh-CN"/>
        </w:rPr>
        <w:t>提前谋划，继续</w:t>
      </w:r>
      <w:r>
        <w:rPr>
          <w:rFonts w:hint="eastAsia" w:ascii="仿宋_GB2312" w:hAnsi="仿宋" w:eastAsia="仿宋_GB2312"/>
          <w:b/>
          <w:bCs/>
          <w:color w:val="auto"/>
          <w:sz w:val="32"/>
          <w:szCs w:val="32"/>
        </w:rPr>
        <w:t>抓好春耕备耕。</w:t>
      </w:r>
      <w:r>
        <w:rPr>
          <w:rFonts w:hint="eastAsia" w:ascii="仿宋_GB2312" w:hAnsi="仿宋_GB2312" w:eastAsia="仿宋_GB2312" w:cs="仿宋_GB2312"/>
          <w:kern w:val="2"/>
          <w:sz w:val="32"/>
          <w:szCs w:val="32"/>
          <w:lang w:val="en-US" w:eastAsia="zh-CN" w:bidi="ar-SA"/>
        </w:rPr>
        <w:t>筹备好全市种植业工作会议，协同局机关安</w:t>
      </w:r>
      <w:r>
        <w:rPr>
          <w:rStyle w:val="10"/>
          <w:rFonts w:hint="eastAsia" w:ascii="仿宋_GB2312" w:hAnsi="仿宋_GB2312" w:eastAsia="仿宋_GB2312" w:cs="仿宋_GB2312"/>
          <w:color w:val="auto"/>
          <w:sz w:val="32"/>
          <w:szCs w:val="32"/>
        </w:rPr>
        <w:t>排部署全市粮油经作、植保农药、土肥水等粮食生产重点工作。</w:t>
      </w:r>
      <w:r>
        <w:rPr>
          <w:rFonts w:hint="eastAsia" w:ascii="仿宋_GB2312" w:hAnsi="仿宋_GB2312" w:eastAsia="仿宋_GB2312" w:cs="仿宋_GB2312"/>
          <w:b/>
          <w:bCs/>
          <w:color w:val="auto"/>
          <w:sz w:val="32"/>
          <w:szCs w:val="32"/>
        </w:rPr>
        <w:t>二是</w:t>
      </w:r>
      <w:bookmarkStart w:id="0" w:name="OLE_LINK1"/>
      <w:r>
        <w:rPr>
          <w:rFonts w:hint="eastAsia" w:ascii="仿宋_GB2312" w:hAnsi="仿宋_GB2312" w:eastAsia="仿宋_GB2312" w:cs="仿宋_GB2312"/>
          <w:b/>
          <w:bCs/>
          <w:color w:val="auto"/>
          <w:sz w:val="32"/>
          <w:szCs w:val="32"/>
          <w:lang w:eastAsia="zh-CN"/>
        </w:rPr>
        <w:t>坚守主责，</w:t>
      </w:r>
      <w:r>
        <w:rPr>
          <w:rFonts w:hint="eastAsia" w:ascii="仿宋_GB2312" w:hAnsi="仿宋_GB2312" w:eastAsia="仿宋_GB2312" w:cs="仿宋_GB2312"/>
          <w:b/>
          <w:bCs/>
          <w:color w:val="auto"/>
          <w:sz w:val="32"/>
          <w:szCs w:val="32"/>
        </w:rPr>
        <w:t>抓好技术指导</w:t>
      </w:r>
      <w:bookmarkEnd w:id="0"/>
      <w:r>
        <w:rPr>
          <w:rFonts w:hint="eastAsia" w:ascii="仿宋_GB2312" w:hAnsi="仿宋_GB2312" w:eastAsia="仿宋_GB2312" w:cs="仿宋_GB2312"/>
          <w:b/>
          <w:bCs/>
          <w:color w:val="auto"/>
          <w:sz w:val="32"/>
          <w:szCs w:val="32"/>
        </w:rPr>
        <w:t>。</w:t>
      </w:r>
      <w:r>
        <w:rPr>
          <w:rStyle w:val="10"/>
          <w:rFonts w:hint="eastAsia" w:ascii="仿宋_GB2312" w:hAnsi="仿宋_GB2312" w:eastAsia="仿宋_GB2312" w:cs="仿宋_GB2312"/>
          <w:color w:val="auto"/>
          <w:sz w:val="32"/>
          <w:szCs w:val="32"/>
          <w:lang w:eastAsia="zh-CN"/>
        </w:rPr>
        <w:t>继续开展好</w:t>
      </w:r>
      <w:r>
        <w:rPr>
          <w:rFonts w:hint="eastAsia" w:ascii="仿宋_GB2312" w:hAnsi="仿宋_GB2312" w:eastAsia="仿宋_GB2312" w:cs="仿宋_GB2312"/>
          <w:kern w:val="2"/>
          <w:sz w:val="32"/>
          <w:szCs w:val="32"/>
          <w:lang w:val="en-US" w:eastAsia="zh-CN" w:bidi="ar-SA"/>
        </w:rPr>
        <w:t>2025年岳阳市集中育秧技术指导，稳定双季稻生产面积，抓好全年粮食生产，服务工作，开展农作物防旱抗旱保收及秋冬种生产指导工作。</w:t>
      </w:r>
      <w:r>
        <w:rPr>
          <w:rFonts w:hint="eastAsia" w:ascii="仿宋_GB2312" w:hAnsi="仿宋" w:eastAsia="仿宋_GB2312" w:cs="Times New Roman"/>
          <w:b/>
          <w:bCs/>
          <w:color w:val="auto"/>
          <w:sz w:val="32"/>
          <w:szCs w:val="32"/>
          <w:lang w:eastAsia="zh-CN"/>
        </w:rPr>
        <w:t>三是广泛开展技术示范推广。</w:t>
      </w:r>
      <w:r>
        <w:rPr>
          <w:rFonts w:hint="eastAsia" w:ascii="仿宋_GB2312" w:hAnsi="仿宋" w:eastAsia="仿宋_GB2312" w:cs="Times New Roman"/>
          <w:color w:val="auto"/>
          <w:sz w:val="32"/>
          <w:szCs w:val="32"/>
          <w:lang w:eastAsia="zh-CN"/>
        </w:rPr>
        <w:t>做好</w:t>
      </w:r>
      <w:r>
        <w:rPr>
          <w:rFonts w:hint="eastAsia" w:ascii="仿宋_GB2312" w:hAnsi="仿宋" w:eastAsia="仿宋_GB2312" w:cs="Times New Roman"/>
          <w:color w:val="auto"/>
          <w:sz w:val="32"/>
          <w:szCs w:val="32"/>
          <w:lang w:val="en-US" w:eastAsia="zh-CN"/>
        </w:rPr>
        <w:t>2025年度市级主导品种与主推技术的遴选与发布，</w:t>
      </w:r>
      <w:r>
        <w:rPr>
          <w:rFonts w:hint="eastAsia" w:ascii="仿宋_GB2312" w:hAnsi="仿宋_GB2312" w:eastAsia="仿宋_GB2312" w:cs="仿宋_GB2312"/>
          <w:kern w:val="2"/>
          <w:sz w:val="32"/>
          <w:szCs w:val="32"/>
          <w:lang w:val="en-US" w:eastAsia="zh-CN" w:bidi="ar-SA"/>
        </w:rPr>
        <w:t>积极开展主推技术示范推广，确保主推技术到位率达95%以上，推广减肥减药绿色生产方式，实现化肥农药减量增效，提升农业生产经济效益，探索一套可复制的农业生产技术。</w:t>
      </w:r>
      <w:r>
        <w:rPr>
          <w:rFonts w:hint="eastAsia" w:ascii="仿宋_GB2312" w:hAnsi="仿宋" w:eastAsia="仿宋_GB2312" w:cs="Times New Roman"/>
          <w:b/>
          <w:bCs/>
          <w:color w:val="auto"/>
          <w:sz w:val="32"/>
          <w:szCs w:val="32"/>
          <w:lang w:eastAsia="zh-CN"/>
        </w:rPr>
        <w:t>四是继续全面推进“两品一标”创建。</w:t>
      </w:r>
      <w:r>
        <w:rPr>
          <w:rFonts w:hint="eastAsia" w:ascii="仿宋_GB2312" w:hAnsi="仿宋_GB2312" w:eastAsia="仿宋_GB2312" w:cs="仿宋_GB2312"/>
          <w:kern w:val="2"/>
          <w:sz w:val="32"/>
          <w:szCs w:val="32"/>
          <w:lang w:val="en-US" w:eastAsia="zh-CN" w:bidi="ar-SA"/>
        </w:rPr>
        <w:t>不断推进绿色农产品认证监管、绿色食品宣传、强化绿色食品基地创建，积极推介岳阳王鸽、樟树港辣椒、长康芝麻油、一碗陈记甜酒、吉娃米业、白石千车岭茶叶等优秀品牌开展绿色优质农产品品牌公益宣传。</w:t>
      </w:r>
      <w:r>
        <w:rPr>
          <w:rFonts w:hint="eastAsia" w:ascii="仿宋_GB2312" w:hAnsi="仿宋" w:eastAsia="仿宋_GB2312" w:cs="Times New Roman"/>
          <w:b/>
          <w:bCs/>
          <w:color w:val="auto"/>
          <w:sz w:val="32"/>
          <w:szCs w:val="32"/>
          <w:lang w:val="en-US" w:eastAsia="zh-CN"/>
        </w:rPr>
        <w:t>五是做好农药管理工作。</w:t>
      </w:r>
      <w:r>
        <w:rPr>
          <w:rFonts w:hint="eastAsia"/>
        </w:rPr>
        <w:t>.</w:t>
      </w:r>
      <w:r>
        <w:rPr>
          <w:rFonts w:hint="eastAsia" w:ascii="仿宋_GB2312" w:hAnsi="仿宋_GB2312" w:eastAsia="仿宋_GB2312" w:cs="仿宋_GB2312"/>
          <w:kern w:val="2"/>
          <w:sz w:val="32"/>
          <w:szCs w:val="32"/>
          <w:lang w:val="en-US" w:eastAsia="zh-CN" w:bidi="ar-SA"/>
        </w:rPr>
        <w:t>重点做好农药行政审批管理，提高审批效率，农药经营许可证新办、变更续证等审批七个工作日内办结；加强全市农药生产企业、经营门店和互联网农资店监督管理，督促农药经营主体规范经营，适时下发规范农资经营进销货台账通知，农药经营主体台账规范率达到90%以上；强化农药包装废弃物回收处置工作，全市农药包装废弃物回收率达到85%，处置率达到100%；做好农药安全风险防范，特别是加强限制使用农药监督管理，确保不发生重大农药安全事故</w:t>
      </w:r>
      <w:r>
        <w:rPr>
          <w:rFonts w:hint="eastAsia" w:ascii="仿宋_GB2312" w:hAnsi="仿宋_GB2312" w:eastAsia="仿宋_GB2312" w:cs="仿宋_GB2312"/>
          <w:b/>
          <w:bCs/>
          <w:kern w:val="2"/>
          <w:sz w:val="32"/>
          <w:szCs w:val="32"/>
          <w:lang w:val="en-US" w:eastAsia="zh-CN" w:bidi="ar-SA"/>
        </w:rPr>
        <w:t>。六是继续发挥农广校培训阵地作用。</w:t>
      </w:r>
      <w:r>
        <w:rPr>
          <w:rFonts w:hint="eastAsia" w:ascii="仿宋_GB2312" w:hAnsi="仿宋_GB2312" w:eastAsia="仿宋_GB2312" w:cs="仿宋_GB2312"/>
          <w:b w:val="0"/>
          <w:bCs w:val="0"/>
          <w:kern w:val="2"/>
          <w:sz w:val="32"/>
          <w:szCs w:val="32"/>
          <w:lang w:val="en-US" w:eastAsia="zh-CN" w:bidi="ar-SA"/>
        </w:rPr>
        <w:t>2025年首行是</w:t>
      </w:r>
      <w:r>
        <w:rPr>
          <w:rFonts w:hint="eastAsia" w:ascii="仿宋" w:hAnsi="仿宋" w:eastAsia="仿宋" w:cs="仿宋"/>
          <w:b w:val="0"/>
          <w:bCs w:val="0"/>
          <w:sz w:val="32"/>
          <w:szCs w:val="32"/>
          <w:lang w:eastAsia="zh-CN"/>
        </w:rPr>
        <w:t>将开展各类培训</w:t>
      </w:r>
      <w:r>
        <w:rPr>
          <w:rFonts w:hint="eastAsia" w:ascii="仿宋" w:hAnsi="仿宋" w:eastAsia="仿宋" w:cs="仿宋"/>
          <w:b w:val="0"/>
          <w:bCs w:val="0"/>
          <w:sz w:val="32"/>
          <w:szCs w:val="32"/>
          <w:lang w:val="en-US" w:eastAsia="zh-CN"/>
        </w:rPr>
        <w:t>10期，培训学员750人次。</w:t>
      </w:r>
      <w:r>
        <w:rPr>
          <w:rFonts w:hint="eastAsia" w:ascii="仿宋" w:hAnsi="仿宋" w:eastAsia="仿宋" w:cs="仿宋"/>
          <w:b/>
          <w:bCs/>
          <w:sz w:val="32"/>
          <w:szCs w:val="32"/>
          <w:lang w:val="en-US" w:eastAsia="zh-CN"/>
        </w:rPr>
        <w:t>其一</w:t>
      </w:r>
      <w:r>
        <w:rPr>
          <w:rFonts w:hint="eastAsia" w:ascii="仿宋" w:hAnsi="仿宋" w:eastAsia="仿宋" w:cs="仿宋"/>
          <w:b w:val="0"/>
          <w:bCs w:val="0"/>
          <w:sz w:val="32"/>
          <w:szCs w:val="32"/>
          <w:lang w:val="en-US" w:eastAsia="zh-CN"/>
        </w:rPr>
        <w:t>是</w:t>
      </w:r>
      <w:r>
        <w:rPr>
          <w:rFonts w:hint="eastAsia" w:ascii="仿宋" w:hAnsi="仿宋" w:eastAsia="仿宋" w:cs="仿宋"/>
          <w:sz w:val="32"/>
          <w:szCs w:val="32"/>
          <w:lang w:val="en-US" w:eastAsia="zh-CN"/>
        </w:rPr>
        <w:t>向省校争取由各县市区承办</w:t>
      </w:r>
      <w:r>
        <w:rPr>
          <w:rFonts w:hint="eastAsia" w:ascii="仿宋" w:hAnsi="仿宋" w:eastAsia="仿宋" w:cs="仿宋"/>
          <w:sz w:val="32"/>
          <w:szCs w:val="32"/>
        </w:rPr>
        <w:t>“农广助农”产业领军人才培训班</w:t>
      </w:r>
      <w:r>
        <w:rPr>
          <w:rFonts w:hint="eastAsia" w:ascii="仿宋" w:hAnsi="仿宋" w:eastAsia="仿宋" w:cs="仿宋"/>
          <w:sz w:val="32"/>
          <w:szCs w:val="32"/>
          <w:lang w:val="en-US" w:eastAsia="zh-CN"/>
        </w:rPr>
        <w:t>4</w:t>
      </w:r>
      <w:r>
        <w:rPr>
          <w:rFonts w:hint="eastAsia" w:ascii="仿宋" w:hAnsi="仿宋" w:eastAsia="仿宋" w:cs="仿宋"/>
          <w:sz w:val="32"/>
          <w:szCs w:val="32"/>
        </w:rPr>
        <w:t>期，培训400人</w:t>
      </w:r>
      <w:r>
        <w:rPr>
          <w:rFonts w:hint="eastAsia" w:ascii="仿宋" w:hAnsi="仿宋" w:eastAsia="仿宋" w:cs="仿宋"/>
          <w:sz w:val="32"/>
          <w:szCs w:val="32"/>
          <w:lang w:eastAsia="zh-CN"/>
        </w:rPr>
        <w:t>；争取承办</w:t>
      </w:r>
      <w:r>
        <w:rPr>
          <w:rFonts w:hint="eastAsia" w:ascii="仿宋" w:hAnsi="仿宋" w:eastAsia="仿宋" w:cs="仿宋"/>
          <w:sz w:val="32"/>
          <w:szCs w:val="32"/>
        </w:rPr>
        <w:t>高素质农民</w:t>
      </w:r>
      <w:r>
        <w:rPr>
          <w:rFonts w:hint="eastAsia" w:ascii="仿宋" w:hAnsi="仿宋" w:eastAsia="仿宋" w:cs="仿宋"/>
          <w:sz w:val="32"/>
          <w:szCs w:val="32"/>
          <w:lang w:eastAsia="zh-CN"/>
        </w:rPr>
        <w:t>培育</w:t>
      </w:r>
      <w:r>
        <w:rPr>
          <w:rFonts w:hint="eastAsia" w:ascii="仿宋" w:hAnsi="仿宋" w:eastAsia="仿宋" w:cs="仿宋"/>
          <w:sz w:val="32"/>
          <w:szCs w:val="32"/>
        </w:rPr>
        <w:t>培训</w:t>
      </w:r>
      <w:r>
        <w:rPr>
          <w:rFonts w:hint="eastAsia" w:ascii="仿宋" w:hAnsi="仿宋" w:eastAsia="仿宋" w:cs="仿宋"/>
          <w:sz w:val="32"/>
          <w:szCs w:val="32"/>
          <w:lang w:eastAsia="zh-CN"/>
        </w:rPr>
        <w:t>班</w:t>
      </w:r>
      <w:r>
        <w:rPr>
          <w:rFonts w:hint="eastAsia" w:ascii="仿宋" w:hAnsi="仿宋" w:eastAsia="仿宋" w:cs="仿宋"/>
          <w:sz w:val="32"/>
          <w:szCs w:val="32"/>
          <w:lang w:val="en-US" w:eastAsia="zh-CN"/>
        </w:rPr>
        <w:t>3</w:t>
      </w:r>
      <w:r>
        <w:rPr>
          <w:rFonts w:hint="eastAsia" w:ascii="仿宋" w:hAnsi="仿宋" w:eastAsia="仿宋" w:cs="仿宋"/>
          <w:sz w:val="32"/>
          <w:szCs w:val="32"/>
        </w:rPr>
        <w:t>期，培训</w:t>
      </w:r>
      <w:r>
        <w:rPr>
          <w:rFonts w:hint="eastAsia" w:ascii="仿宋" w:hAnsi="仿宋" w:eastAsia="仿宋" w:cs="仿宋"/>
          <w:sz w:val="32"/>
          <w:szCs w:val="32"/>
          <w:lang w:val="en-US" w:eastAsia="zh-CN"/>
        </w:rPr>
        <w:t>1</w:t>
      </w:r>
      <w:r>
        <w:rPr>
          <w:rFonts w:hint="eastAsia" w:ascii="仿宋" w:hAnsi="仿宋" w:eastAsia="仿宋" w:cs="仿宋"/>
          <w:sz w:val="32"/>
          <w:szCs w:val="32"/>
        </w:rPr>
        <w:t>70人；</w:t>
      </w:r>
      <w:r>
        <w:rPr>
          <w:rFonts w:hint="eastAsia" w:ascii="仿宋" w:hAnsi="仿宋" w:eastAsia="仿宋" w:cs="仿宋"/>
          <w:sz w:val="32"/>
          <w:szCs w:val="32"/>
          <w:lang w:val="en-US" w:eastAsia="zh-CN"/>
        </w:rPr>
        <w:t>向省校争取由田间学校承办培训班3期，培训180人。</w:t>
      </w:r>
      <w:r>
        <w:rPr>
          <w:rFonts w:hint="eastAsia" w:ascii="仿宋" w:hAnsi="仿宋" w:eastAsia="仿宋" w:cs="仿宋"/>
          <w:b/>
          <w:bCs/>
          <w:sz w:val="32"/>
          <w:szCs w:val="32"/>
          <w:lang w:val="en-US" w:eastAsia="zh-CN"/>
        </w:rPr>
        <w:t>其二</w:t>
      </w:r>
      <w:r>
        <w:rPr>
          <w:rFonts w:hint="eastAsia" w:ascii="仿宋" w:hAnsi="仿宋" w:eastAsia="仿宋" w:cs="仿宋"/>
          <w:sz w:val="32"/>
          <w:szCs w:val="32"/>
          <w:lang w:val="en-US" w:eastAsia="zh-CN"/>
        </w:rPr>
        <w:t>是</w:t>
      </w:r>
      <w:r>
        <w:rPr>
          <w:rFonts w:hint="eastAsia" w:ascii="仿宋" w:hAnsi="仿宋" w:eastAsia="仿宋" w:cs="仿宋"/>
          <w:b w:val="0"/>
          <w:bCs w:val="0"/>
          <w:sz w:val="32"/>
          <w:szCs w:val="32"/>
          <w:lang w:val="en-US" w:eastAsia="zh-CN"/>
        </w:rPr>
        <w:t>争取今年12月份已到期的二所省级田间学校重新获得认定，并力争新认定一所省级田间学校。</w:t>
      </w:r>
      <w:r>
        <w:rPr>
          <w:rFonts w:hint="eastAsia" w:ascii="仿宋" w:hAnsi="仿宋" w:eastAsia="仿宋" w:cs="仿宋"/>
          <w:b/>
          <w:bCs/>
          <w:sz w:val="32"/>
          <w:szCs w:val="32"/>
          <w:lang w:eastAsia="zh-CN"/>
        </w:rPr>
        <w:t>其三</w:t>
      </w:r>
      <w:r>
        <w:rPr>
          <w:rFonts w:hint="eastAsia" w:ascii="仿宋" w:hAnsi="仿宋" w:eastAsia="仿宋" w:cs="仿宋"/>
          <w:b w:val="0"/>
          <w:bCs w:val="0"/>
          <w:sz w:val="32"/>
          <w:szCs w:val="32"/>
          <w:lang w:eastAsia="zh-CN"/>
        </w:rPr>
        <w:t>是开展培训</w:t>
      </w:r>
      <w:r>
        <w:rPr>
          <w:rFonts w:hint="eastAsia" w:ascii="仿宋" w:hAnsi="仿宋" w:eastAsia="仿宋" w:cs="仿宋"/>
          <w:b w:val="0"/>
          <w:bCs w:val="0"/>
          <w:sz w:val="32"/>
          <w:szCs w:val="32"/>
          <w:lang w:val="en-US" w:eastAsia="zh-CN"/>
        </w:rPr>
        <w:t>后续跟踪服务。</w:t>
      </w:r>
      <w:r>
        <w:rPr>
          <w:rFonts w:hint="eastAsia" w:ascii="仿宋" w:hAnsi="仿宋" w:eastAsia="仿宋" w:cs="仿宋"/>
          <w:b/>
          <w:bCs/>
          <w:sz w:val="32"/>
          <w:szCs w:val="32"/>
          <w:lang w:val="en-US" w:eastAsia="zh-CN"/>
        </w:rPr>
        <w:t>七是畜牧水产工作再上台阶。</w:t>
      </w:r>
      <w:r>
        <w:rPr>
          <w:rFonts w:hint="eastAsia" w:ascii="仿宋" w:hAnsi="仿宋" w:eastAsia="仿宋" w:cs="仿宋"/>
          <w:sz w:val="32"/>
          <w:szCs w:val="32"/>
          <w:lang w:val="en-US" w:eastAsia="zh-CN"/>
        </w:rPr>
        <w:t>继续完成重点</w:t>
      </w:r>
      <w:r>
        <w:rPr>
          <w:rFonts w:hint="default" w:ascii="仿宋" w:hAnsi="仿宋" w:eastAsia="仿宋" w:cs="仿宋"/>
          <w:sz w:val="32"/>
          <w:szCs w:val="32"/>
          <w:lang w:val="en-US" w:eastAsia="zh-CN"/>
        </w:rPr>
        <w:t>水产</w:t>
      </w:r>
      <w:r>
        <w:rPr>
          <w:rFonts w:hint="eastAsia" w:ascii="仿宋" w:hAnsi="仿宋" w:eastAsia="仿宋" w:cs="仿宋"/>
          <w:sz w:val="32"/>
          <w:szCs w:val="32"/>
          <w:lang w:val="en-US" w:eastAsia="zh-CN"/>
        </w:rPr>
        <w:t>养殖品种</w:t>
      </w:r>
      <w:r>
        <w:rPr>
          <w:rFonts w:hint="default" w:ascii="仿宋" w:hAnsi="仿宋" w:eastAsia="仿宋" w:cs="仿宋"/>
          <w:sz w:val="32"/>
          <w:szCs w:val="32"/>
          <w:lang w:val="en-US" w:eastAsia="zh-CN"/>
        </w:rPr>
        <w:t>监测工作</w:t>
      </w:r>
      <w:r>
        <w:rPr>
          <w:rFonts w:hint="eastAsia" w:ascii="仿宋" w:hAnsi="仿宋" w:eastAsia="仿宋" w:cs="仿宋"/>
          <w:sz w:val="32"/>
          <w:szCs w:val="32"/>
          <w:lang w:val="en-US" w:eastAsia="zh-CN"/>
        </w:rPr>
        <w:t>、2024年</w:t>
      </w:r>
      <w:r>
        <w:rPr>
          <w:rFonts w:hint="default" w:ascii="仿宋" w:hAnsi="仿宋" w:eastAsia="仿宋" w:cs="仿宋"/>
          <w:sz w:val="32"/>
          <w:szCs w:val="32"/>
          <w:lang w:val="en-US" w:eastAsia="zh-CN"/>
        </w:rPr>
        <w:t>畜牧统计年报</w:t>
      </w:r>
      <w:r>
        <w:rPr>
          <w:rFonts w:hint="eastAsia" w:ascii="仿宋" w:hAnsi="仿宋" w:eastAsia="仿宋" w:cs="仿宋"/>
          <w:sz w:val="32"/>
          <w:szCs w:val="32"/>
          <w:lang w:val="en-US" w:eastAsia="zh-CN"/>
        </w:rPr>
        <w:t>、落实好</w:t>
      </w:r>
      <w:r>
        <w:rPr>
          <w:rFonts w:hint="default" w:ascii="仿宋" w:hAnsi="仿宋" w:eastAsia="仿宋" w:cs="仿宋"/>
          <w:sz w:val="32"/>
          <w:szCs w:val="32"/>
        </w:rPr>
        <w:t>202</w:t>
      </w:r>
      <w:r>
        <w:rPr>
          <w:rFonts w:hint="eastAsia" w:ascii="仿宋" w:hAnsi="仿宋" w:eastAsia="仿宋" w:cs="仿宋"/>
          <w:sz w:val="32"/>
          <w:szCs w:val="32"/>
          <w:lang w:val="en-US" w:eastAsia="zh-CN"/>
        </w:rPr>
        <w:t>5</w:t>
      </w:r>
      <w:r>
        <w:rPr>
          <w:rFonts w:hint="default" w:ascii="仿宋" w:hAnsi="仿宋" w:eastAsia="仿宋" w:cs="仿宋"/>
          <w:sz w:val="32"/>
          <w:szCs w:val="32"/>
        </w:rPr>
        <w:t>年重大水生动物疫病疫情</w:t>
      </w:r>
      <w:r>
        <w:rPr>
          <w:rFonts w:hint="eastAsia" w:ascii="仿宋" w:hAnsi="仿宋" w:eastAsia="仿宋" w:cs="仿宋"/>
          <w:sz w:val="32"/>
          <w:szCs w:val="32"/>
          <w:lang w:val="en-US" w:eastAsia="zh-CN"/>
        </w:rPr>
        <w:t>省级</w:t>
      </w:r>
      <w:r>
        <w:rPr>
          <w:rFonts w:hint="default" w:ascii="仿宋" w:hAnsi="仿宋" w:eastAsia="仿宋" w:cs="仿宋"/>
          <w:sz w:val="32"/>
          <w:szCs w:val="32"/>
        </w:rPr>
        <w:t>监测工作</w:t>
      </w:r>
      <w:r>
        <w:rPr>
          <w:rFonts w:hint="default" w:ascii="仿宋" w:hAnsi="仿宋" w:eastAsia="仿宋" w:cs="仿宋"/>
          <w:sz w:val="32"/>
          <w:szCs w:val="32"/>
          <w:lang w:eastAsia="zh-CN"/>
        </w:rPr>
        <w:t>。</w:t>
      </w:r>
      <w:r>
        <w:rPr>
          <w:rFonts w:hint="default" w:ascii="仿宋" w:hAnsi="仿宋" w:eastAsia="仿宋" w:cs="仿宋"/>
          <w:sz w:val="32"/>
          <w:szCs w:val="32"/>
          <w:lang w:val="en-US" w:eastAsia="zh-CN"/>
        </w:rPr>
        <w:t>开展水产绿色健康养</w:t>
      </w:r>
      <w:r>
        <w:rPr>
          <w:rFonts w:hint="eastAsia" w:ascii="仿宋" w:hAnsi="仿宋" w:eastAsia="仿宋" w:cs="仿宋"/>
          <w:sz w:val="32"/>
          <w:szCs w:val="32"/>
          <w:lang w:val="en-US" w:eastAsia="zh-CN"/>
        </w:rPr>
        <w:t>殖</w:t>
      </w:r>
      <w:r>
        <w:rPr>
          <w:rFonts w:hint="default" w:ascii="仿宋" w:hAnsi="仿宋" w:eastAsia="仿宋" w:cs="仿宋"/>
          <w:sz w:val="32"/>
          <w:szCs w:val="32"/>
          <w:lang w:val="en-US" w:eastAsia="zh-CN"/>
        </w:rPr>
        <w:t>技术</w:t>
      </w:r>
      <w:r>
        <w:rPr>
          <w:rFonts w:hint="eastAsia" w:ascii="仿宋" w:hAnsi="仿宋" w:eastAsia="仿宋" w:cs="仿宋"/>
          <w:sz w:val="32"/>
          <w:szCs w:val="32"/>
          <w:lang w:val="en-US" w:eastAsia="zh-CN"/>
        </w:rPr>
        <w:t>指导</w:t>
      </w:r>
      <w:r>
        <w:rPr>
          <w:rFonts w:hint="eastAsia" w:cs="仿宋"/>
          <w:sz w:val="32"/>
          <w:szCs w:val="32"/>
          <w:lang w:val="en-US" w:eastAsia="zh-CN"/>
        </w:rPr>
        <w:t>、</w:t>
      </w:r>
      <w:r>
        <w:rPr>
          <w:rFonts w:hint="eastAsia" w:ascii="仿宋" w:hAnsi="仿宋" w:eastAsia="仿宋" w:cs="仿宋"/>
          <w:sz w:val="32"/>
          <w:szCs w:val="32"/>
          <w:lang w:val="en-US" w:eastAsia="zh-CN"/>
        </w:rPr>
        <w:t>推进水生动物疫病实验室省级验收工作</w:t>
      </w:r>
      <w:r>
        <w:rPr>
          <w:rFonts w:hint="eastAsia" w:cs="仿宋"/>
          <w:sz w:val="32"/>
          <w:szCs w:val="32"/>
          <w:lang w:val="en-US" w:eastAsia="zh-CN"/>
        </w:rPr>
        <w:t>、</w:t>
      </w:r>
      <w:r>
        <w:rPr>
          <w:rFonts w:hint="eastAsia" w:ascii="仿宋" w:hAnsi="仿宋" w:eastAsia="仿宋" w:cs="仿宋"/>
          <w:sz w:val="32"/>
          <w:szCs w:val="32"/>
          <w:lang w:val="en-US" w:eastAsia="zh-CN"/>
        </w:rPr>
        <w:t>力争在全国水生动物疫病能力验证工作中通过一种疫病。</w:t>
      </w:r>
      <w:r>
        <w:rPr>
          <w:rFonts w:hint="eastAsia" w:cs="仿宋"/>
          <w:b/>
          <w:bCs/>
          <w:sz w:val="32"/>
          <w:szCs w:val="32"/>
          <w:lang w:val="en-US" w:eastAsia="zh-CN"/>
        </w:rPr>
        <w:t>八是</w:t>
      </w:r>
      <w:r>
        <w:rPr>
          <w:rFonts w:hint="eastAsia" w:ascii="Times New Roman" w:hAnsi="Times New Roman" w:eastAsia="仿宋_GB2312" w:cs="Times New Roman"/>
          <w:b/>
          <w:bCs/>
          <w:sz w:val="32"/>
          <w:szCs w:val="32"/>
          <w:lang w:val="en-US" w:eastAsia="zh-CN"/>
        </w:rPr>
        <w:t>协助局党组，更加积极发挥行</w:t>
      </w:r>
      <w:r>
        <w:rPr>
          <w:rFonts w:hint="eastAsia" w:ascii="Times New Roman" w:hAnsi="Times New Roman" w:eastAsia="仿宋" w:cs="Times New Roman"/>
          <w:b/>
          <w:bCs/>
          <w:sz w:val="32"/>
          <w:szCs w:val="32"/>
          <w:lang w:val="en-US" w:eastAsia="zh-CN"/>
        </w:rPr>
        <w:t>政辅助</w:t>
      </w:r>
      <w:r>
        <w:rPr>
          <w:rFonts w:hint="eastAsia" w:ascii="Times New Roman" w:hAnsi="Times New Roman" w:cs="Times New Roman"/>
          <w:b/>
          <w:bCs/>
          <w:sz w:val="32"/>
          <w:szCs w:val="32"/>
          <w:lang w:val="en-US" w:eastAsia="zh-CN"/>
        </w:rPr>
        <w:t>功能。</w:t>
      </w:r>
      <w:r>
        <w:rPr>
          <w:rFonts w:hint="eastAsia" w:ascii="仿宋" w:hAnsi="仿宋" w:eastAsia="仿宋" w:cs="仿宋"/>
          <w:sz w:val="32"/>
          <w:szCs w:val="32"/>
          <w:lang w:val="en-US" w:eastAsia="zh-CN"/>
        </w:rPr>
        <w:t>在中心种植业部、农环部、农广校在承担局里工作中，开展深度融合的势头有增无减，农业种质资源的事务性工作正在逐步移交，2024年由中心承担开展的农作物品种生产试验、引种适应性试验圆满完成。中心新成立了乡村振兴事务部将承接更多的局机关事务性工作。中心在承担行政辅助功能方面内容越来越多，融合程度越来越深。</w:t>
      </w:r>
    </w:p>
    <w:p w14:paraId="0A06A164">
      <w:pPr>
        <w:widowControl/>
        <w:spacing w:after="120" w:afterLines="50"/>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4</w:t>
      </w:r>
      <w:r>
        <w:rPr>
          <w:rFonts w:hint="eastAsia" w:ascii="方正小标宋简体" w:hAnsi="方正小标宋简体" w:eastAsia="方正小标宋简体" w:cs="方正小标宋简体"/>
          <w:color w:val="000000"/>
          <w:sz w:val="36"/>
          <w:szCs w:val="36"/>
        </w:rPr>
        <w:t>年度部门整体支出绩效自评表</w:t>
      </w:r>
    </w:p>
    <w:tbl>
      <w:tblPr>
        <w:tblStyle w:val="7"/>
        <w:tblW w:w="10079" w:type="dxa"/>
        <w:jc w:val="center"/>
        <w:tblLayout w:type="autofit"/>
        <w:tblCellMar>
          <w:top w:w="0" w:type="dxa"/>
          <w:left w:w="108" w:type="dxa"/>
          <w:bottom w:w="0" w:type="dxa"/>
          <w:right w:w="108" w:type="dxa"/>
        </w:tblCellMar>
      </w:tblPr>
      <w:tblGrid>
        <w:gridCol w:w="1080"/>
        <w:gridCol w:w="1080"/>
        <w:gridCol w:w="1034"/>
        <w:gridCol w:w="1270"/>
        <w:gridCol w:w="1311"/>
        <w:gridCol w:w="1269"/>
        <w:gridCol w:w="716"/>
        <w:gridCol w:w="873"/>
        <w:gridCol w:w="1446"/>
      </w:tblGrid>
      <w:tr w14:paraId="4F2B534F">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2FAAD8F">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市</w:t>
            </w:r>
            <w:r>
              <w:rPr>
                <w:rFonts w:hint="eastAsia" w:ascii="仿宋_GB2312" w:hAnsi="仿宋_GB2312" w:eastAsia="仿宋_GB2312" w:cs="仿宋_GB2312"/>
                <w:color w:val="000000"/>
                <w:sz w:val="20"/>
                <w:szCs w:val="20"/>
              </w:rPr>
              <w:t>级预算部门名称</w:t>
            </w:r>
          </w:p>
        </w:tc>
        <w:tc>
          <w:tcPr>
            <w:tcW w:w="8999" w:type="dxa"/>
            <w:gridSpan w:val="8"/>
            <w:tcBorders>
              <w:top w:val="single" w:color="auto" w:sz="4" w:space="0"/>
              <w:left w:val="nil"/>
              <w:bottom w:val="single" w:color="auto" w:sz="4" w:space="0"/>
              <w:right w:val="single" w:color="auto" w:sz="4" w:space="0"/>
            </w:tcBorders>
            <w:noWrap w:val="0"/>
            <w:vAlign w:val="center"/>
          </w:tcPr>
          <w:p w14:paraId="48A992FE">
            <w:pPr>
              <w:widowControl/>
              <w:spacing w:line="240" w:lineRule="exact"/>
              <w:ind w:firstLine="3200" w:firstLineChars="1600"/>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岳阳市农业农村事务中心</w:t>
            </w:r>
            <w:r>
              <w:rPr>
                <w:rFonts w:hint="eastAsia" w:ascii="仿宋_GB2312" w:hAnsi="仿宋_GB2312" w:eastAsia="仿宋_GB2312" w:cs="仿宋_GB2312"/>
                <w:color w:val="000000"/>
                <w:sz w:val="20"/>
                <w:szCs w:val="20"/>
              </w:rPr>
              <w:t>　</w:t>
            </w:r>
          </w:p>
        </w:tc>
      </w:tr>
      <w:tr w14:paraId="1266B1E4">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52A0AEB8">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年度预</w:t>
            </w:r>
          </w:p>
          <w:p w14:paraId="07A0F506">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算申请</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14" w:type="dxa"/>
            <w:gridSpan w:val="2"/>
            <w:tcBorders>
              <w:top w:val="nil"/>
              <w:left w:val="nil"/>
              <w:bottom w:val="single" w:color="auto" w:sz="4" w:space="0"/>
              <w:right w:val="single" w:color="auto" w:sz="4" w:space="0"/>
            </w:tcBorders>
            <w:noWrap w:val="0"/>
            <w:vAlign w:val="center"/>
          </w:tcPr>
          <w:p w14:paraId="736829D4">
            <w:pPr>
              <w:spacing w:line="240" w:lineRule="exact"/>
              <w:jc w:val="center"/>
              <w:rPr>
                <w:rFonts w:hint="eastAsia" w:ascii="仿宋_GB2312" w:hAnsi="仿宋_GB2312" w:eastAsia="仿宋_GB2312" w:cs="仿宋_GB2312"/>
                <w:sz w:val="20"/>
                <w:szCs w:val="20"/>
              </w:rPr>
            </w:pPr>
          </w:p>
        </w:tc>
        <w:tc>
          <w:tcPr>
            <w:tcW w:w="1270" w:type="dxa"/>
            <w:tcBorders>
              <w:top w:val="nil"/>
              <w:left w:val="nil"/>
              <w:bottom w:val="single" w:color="auto" w:sz="4" w:space="0"/>
              <w:right w:val="single" w:color="auto" w:sz="4" w:space="0"/>
            </w:tcBorders>
            <w:noWrap w:val="0"/>
            <w:vAlign w:val="center"/>
          </w:tcPr>
          <w:p w14:paraId="1BA7DC7C">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年初预算数</w:t>
            </w:r>
          </w:p>
        </w:tc>
        <w:tc>
          <w:tcPr>
            <w:tcW w:w="1311" w:type="dxa"/>
            <w:tcBorders>
              <w:top w:val="nil"/>
              <w:left w:val="nil"/>
              <w:bottom w:val="single" w:color="auto" w:sz="4" w:space="0"/>
              <w:right w:val="single" w:color="auto" w:sz="4" w:space="0"/>
            </w:tcBorders>
            <w:noWrap w:val="0"/>
            <w:vAlign w:val="center"/>
          </w:tcPr>
          <w:p w14:paraId="0887DA00">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全年预算数</w:t>
            </w:r>
          </w:p>
        </w:tc>
        <w:tc>
          <w:tcPr>
            <w:tcW w:w="1269" w:type="dxa"/>
            <w:tcBorders>
              <w:top w:val="nil"/>
              <w:left w:val="nil"/>
              <w:bottom w:val="single" w:color="auto" w:sz="4" w:space="0"/>
              <w:right w:val="single" w:color="auto" w:sz="4" w:space="0"/>
            </w:tcBorders>
            <w:noWrap w:val="0"/>
            <w:vAlign w:val="center"/>
          </w:tcPr>
          <w:p w14:paraId="3170202D">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全年执行数</w:t>
            </w:r>
          </w:p>
        </w:tc>
        <w:tc>
          <w:tcPr>
            <w:tcW w:w="716" w:type="dxa"/>
            <w:tcBorders>
              <w:top w:val="nil"/>
              <w:left w:val="nil"/>
              <w:bottom w:val="single" w:color="auto" w:sz="4" w:space="0"/>
              <w:right w:val="single" w:color="auto" w:sz="4" w:space="0"/>
            </w:tcBorders>
            <w:noWrap w:val="0"/>
            <w:vAlign w:val="center"/>
          </w:tcPr>
          <w:p w14:paraId="29FA34BA">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0"/>
            <w:vAlign w:val="center"/>
          </w:tcPr>
          <w:p w14:paraId="141BDC24">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46" w:type="dxa"/>
            <w:tcBorders>
              <w:top w:val="nil"/>
              <w:left w:val="nil"/>
              <w:bottom w:val="single" w:color="auto" w:sz="4" w:space="0"/>
              <w:right w:val="single" w:color="auto" w:sz="4" w:space="0"/>
            </w:tcBorders>
            <w:noWrap w:val="0"/>
            <w:vAlign w:val="center"/>
          </w:tcPr>
          <w:p w14:paraId="37043C60">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14:paraId="1CBAD15F">
        <w:tblPrEx>
          <w:tblCellMar>
            <w:top w:w="0" w:type="dxa"/>
            <w:left w:w="108" w:type="dxa"/>
            <w:bottom w:w="0" w:type="dxa"/>
            <w:right w:w="108" w:type="dxa"/>
          </w:tblCellMar>
        </w:tblPrEx>
        <w:trPr>
          <w:trHeight w:val="196" w:hRule="atLeast"/>
          <w:jc w:val="center"/>
        </w:trPr>
        <w:tc>
          <w:tcPr>
            <w:tcW w:w="1080" w:type="dxa"/>
            <w:vMerge w:val="continue"/>
            <w:tcBorders>
              <w:top w:val="nil"/>
              <w:left w:val="single" w:color="auto" w:sz="4" w:space="0"/>
              <w:right w:val="single" w:color="auto" w:sz="4" w:space="0"/>
            </w:tcBorders>
            <w:noWrap w:val="0"/>
            <w:vAlign w:val="center"/>
          </w:tcPr>
          <w:p w14:paraId="4DC6161A">
            <w:pPr>
              <w:widowControl/>
              <w:spacing w:line="240" w:lineRule="exact"/>
              <w:jc w:val="center"/>
              <w:rPr>
                <w:rFonts w:hint="eastAsia" w:ascii="仿宋_GB2312" w:hAnsi="仿宋_GB2312" w:eastAsia="仿宋_GB2312" w:cs="仿宋_GB2312"/>
                <w:color w:val="000000"/>
                <w:sz w:val="20"/>
                <w:szCs w:val="20"/>
              </w:rPr>
            </w:pPr>
          </w:p>
        </w:tc>
        <w:tc>
          <w:tcPr>
            <w:tcW w:w="2114" w:type="dxa"/>
            <w:gridSpan w:val="2"/>
            <w:tcBorders>
              <w:top w:val="nil"/>
              <w:left w:val="nil"/>
              <w:bottom w:val="single" w:color="auto" w:sz="4" w:space="0"/>
              <w:right w:val="single" w:color="auto" w:sz="4" w:space="0"/>
            </w:tcBorders>
            <w:noWrap w:val="0"/>
            <w:vAlign w:val="center"/>
          </w:tcPr>
          <w:p w14:paraId="7449BB38">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color w:val="000000"/>
                <w:sz w:val="20"/>
                <w:szCs w:val="20"/>
              </w:rPr>
              <w:t>年度资金总额</w:t>
            </w:r>
          </w:p>
        </w:tc>
        <w:tc>
          <w:tcPr>
            <w:tcW w:w="1270" w:type="dxa"/>
            <w:tcBorders>
              <w:top w:val="nil"/>
              <w:left w:val="nil"/>
              <w:bottom w:val="single" w:color="auto" w:sz="4" w:space="0"/>
              <w:right w:val="single" w:color="auto" w:sz="4" w:space="0"/>
            </w:tcBorders>
            <w:noWrap w:val="0"/>
            <w:vAlign w:val="center"/>
          </w:tcPr>
          <w:p w14:paraId="517840B1">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highlight w:val="none"/>
                <w:lang w:val="en-US" w:eastAsia="zh-CN"/>
              </w:rPr>
              <w:t>806.24</w:t>
            </w:r>
          </w:p>
        </w:tc>
        <w:tc>
          <w:tcPr>
            <w:tcW w:w="1311" w:type="dxa"/>
            <w:tcBorders>
              <w:top w:val="nil"/>
              <w:left w:val="nil"/>
              <w:bottom w:val="single" w:color="auto" w:sz="4" w:space="0"/>
              <w:right w:val="single" w:color="auto" w:sz="4" w:space="0"/>
            </w:tcBorders>
            <w:noWrap w:val="0"/>
            <w:vAlign w:val="center"/>
          </w:tcPr>
          <w:p w14:paraId="41D62C20">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highlight w:val="none"/>
                <w:lang w:val="en-US" w:eastAsia="zh-CN"/>
              </w:rPr>
              <w:t>1372.44</w:t>
            </w:r>
          </w:p>
        </w:tc>
        <w:tc>
          <w:tcPr>
            <w:tcW w:w="1269" w:type="dxa"/>
            <w:tcBorders>
              <w:top w:val="nil"/>
              <w:left w:val="nil"/>
              <w:bottom w:val="single" w:color="auto" w:sz="4" w:space="0"/>
              <w:right w:val="single" w:color="auto" w:sz="4" w:space="0"/>
            </w:tcBorders>
            <w:noWrap w:val="0"/>
            <w:vAlign w:val="center"/>
          </w:tcPr>
          <w:p w14:paraId="44BC88B5">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highlight w:val="none"/>
                <w:lang w:val="en-US" w:eastAsia="zh-CN"/>
              </w:rPr>
              <w:t>1372.44</w:t>
            </w:r>
          </w:p>
        </w:tc>
        <w:tc>
          <w:tcPr>
            <w:tcW w:w="716" w:type="dxa"/>
            <w:tcBorders>
              <w:top w:val="nil"/>
              <w:left w:val="nil"/>
              <w:bottom w:val="single" w:color="auto" w:sz="4" w:space="0"/>
              <w:right w:val="single" w:color="auto" w:sz="4" w:space="0"/>
            </w:tcBorders>
            <w:noWrap w:val="0"/>
            <w:vAlign w:val="center"/>
          </w:tcPr>
          <w:p w14:paraId="6BF0271B">
            <w:pPr>
              <w:spacing w:line="240" w:lineRule="exac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highlight w:val="none"/>
              </w:rPr>
              <w:t>10</w:t>
            </w:r>
          </w:p>
        </w:tc>
        <w:tc>
          <w:tcPr>
            <w:tcW w:w="873" w:type="dxa"/>
            <w:tcBorders>
              <w:top w:val="nil"/>
              <w:left w:val="nil"/>
              <w:bottom w:val="single" w:color="auto" w:sz="4" w:space="0"/>
              <w:right w:val="single" w:color="auto" w:sz="4" w:space="0"/>
            </w:tcBorders>
            <w:noWrap w:val="0"/>
            <w:vAlign w:val="center"/>
          </w:tcPr>
          <w:p w14:paraId="36178C43">
            <w:pPr>
              <w:spacing w:line="240" w:lineRule="exact"/>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highlight w:val="none"/>
                <w:lang w:val="en-US" w:eastAsia="zh-CN"/>
              </w:rPr>
              <w:t>100%</w:t>
            </w:r>
          </w:p>
        </w:tc>
        <w:tc>
          <w:tcPr>
            <w:tcW w:w="1446" w:type="dxa"/>
            <w:tcBorders>
              <w:top w:val="nil"/>
              <w:left w:val="nil"/>
              <w:bottom w:val="single" w:color="auto" w:sz="4" w:space="0"/>
              <w:right w:val="single" w:color="auto" w:sz="4" w:space="0"/>
            </w:tcBorders>
            <w:noWrap w:val="0"/>
            <w:vAlign w:val="center"/>
          </w:tcPr>
          <w:p w14:paraId="4E104156">
            <w:pPr>
              <w:spacing w:line="240" w:lineRule="exact"/>
              <w:jc w:val="center"/>
              <w:rPr>
                <w:rFonts w:hint="default" w:ascii="仿宋_GB2312" w:hAnsi="仿宋_GB2312" w:eastAsia="仿宋_GB2312" w:cs="仿宋_GB2312"/>
                <w:sz w:val="20"/>
                <w:szCs w:val="20"/>
                <w:lang w:val="en-US" w:eastAsia="zh-CN"/>
              </w:rPr>
            </w:pPr>
          </w:p>
        </w:tc>
      </w:tr>
      <w:tr w14:paraId="3FE80C1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A3333DE">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14:paraId="7078AFB0">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按收入性质分：</w:t>
            </w:r>
          </w:p>
        </w:tc>
        <w:tc>
          <w:tcPr>
            <w:tcW w:w="4304" w:type="dxa"/>
            <w:gridSpan w:val="4"/>
            <w:tcBorders>
              <w:top w:val="nil"/>
              <w:left w:val="nil"/>
              <w:bottom w:val="single" w:color="auto" w:sz="4" w:space="0"/>
              <w:right w:val="single" w:color="auto" w:sz="4" w:space="0"/>
            </w:tcBorders>
            <w:noWrap w:val="0"/>
            <w:vAlign w:val="center"/>
          </w:tcPr>
          <w:p w14:paraId="5C0CA114">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按支出性质分：</w:t>
            </w:r>
          </w:p>
        </w:tc>
      </w:tr>
      <w:tr w14:paraId="28D0D28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AFE87A1">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14:paraId="5D236CA3">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xml:space="preserve">  其中：  一般公共预算：</w:t>
            </w:r>
            <w:r>
              <w:rPr>
                <w:rFonts w:hint="eastAsia" w:ascii="仿宋_GB2312" w:hAnsi="仿宋_GB2312" w:eastAsia="仿宋_GB2312" w:cs="仿宋_GB2312"/>
                <w:color w:val="000000"/>
                <w:sz w:val="20"/>
                <w:szCs w:val="20"/>
                <w:lang w:val="en-US" w:eastAsia="zh-CN"/>
              </w:rPr>
              <w:t>1371.68</w:t>
            </w:r>
          </w:p>
        </w:tc>
        <w:tc>
          <w:tcPr>
            <w:tcW w:w="4304" w:type="dxa"/>
            <w:gridSpan w:val="4"/>
            <w:tcBorders>
              <w:top w:val="nil"/>
              <w:left w:val="nil"/>
              <w:bottom w:val="single" w:color="auto" w:sz="4" w:space="0"/>
              <w:right w:val="single" w:color="auto" w:sz="4" w:space="0"/>
            </w:tcBorders>
            <w:noWrap w:val="0"/>
            <w:vAlign w:val="center"/>
          </w:tcPr>
          <w:p w14:paraId="6723B055">
            <w:pPr>
              <w:widowControl/>
              <w:spacing w:line="240" w:lineRule="exact"/>
              <w:jc w:val="left"/>
              <w:rPr>
                <w:rFonts w:hint="default" w:ascii="仿宋_GB2312" w:hAnsi="仿宋_GB2312" w:eastAsia="仿宋_GB2312" w:cs="仿宋_GB2312"/>
                <w:color w:val="000000"/>
                <w:sz w:val="20"/>
                <w:szCs w:val="20"/>
                <w:lang w:val="en-US"/>
              </w:rPr>
            </w:pPr>
            <w:r>
              <w:rPr>
                <w:rFonts w:hint="eastAsia" w:ascii="仿宋_GB2312" w:hAnsi="仿宋_GB2312" w:eastAsia="仿宋_GB2312" w:cs="仿宋_GB2312"/>
                <w:color w:val="000000"/>
                <w:sz w:val="20"/>
                <w:szCs w:val="20"/>
              </w:rPr>
              <w:t>其中：基本支出：</w:t>
            </w:r>
            <w:r>
              <w:rPr>
                <w:rFonts w:hint="eastAsia" w:ascii="仿宋_GB2312" w:hAnsi="仿宋_GB2312" w:eastAsia="仿宋_GB2312" w:cs="仿宋_GB2312"/>
                <w:color w:val="000000"/>
                <w:sz w:val="20"/>
                <w:szCs w:val="20"/>
                <w:highlight w:val="none"/>
                <w:lang w:val="en-US" w:eastAsia="zh-CN"/>
              </w:rPr>
              <w:t>939.83</w:t>
            </w:r>
          </w:p>
        </w:tc>
      </w:tr>
      <w:tr w14:paraId="49D387A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E6D95AD">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14:paraId="72116EC3">
            <w:pPr>
              <w:widowControl/>
              <w:spacing w:line="240" w:lineRule="exact"/>
              <w:ind w:firstLine="800" w:firstLineChars="400"/>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政府性基金拨款：</w:t>
            </w:r>
          </w:p>
        </w:tc>
        <w:tc>
          <w:tcPr>
            <w:tcW w:w="4304" w:type="dxa"/>
            <w:gridSpan w:val="4"/>
            <w:tcBorders>
              <w:top w:val="nil"/>
              <w:left w:val="nil"/>
              <w:bottom w:val="single" w:color="auto" w:sz="4" w:space="0"/>
              <w:right w:val="single" w:color="auto" w:sz="4" w:space="0"/>
            </w:tcBorders>
            <w:noWrap w:val="0"/>
            <w:vAlign w:val="center"/>
          </w:tcPr>
          <w:p w14:paraId="2F66C3E5">
            <w:pPr>
              <w:widowControl/>
              <w:spacing w:line="240" w:lineRule="exact"/>
              <w:ind w:firstLine="600" w:firstLineChars="300"/>
              <w:jc w:val="left"/>
              <w:rPr>
                <w:rFonts w:hint="default" w:ascii="仿宋_GB2312" w:hAnsi="仿宋_GB2312" w:eastAsia="仿宋_GB2312" w:cs="仿宋_GB2312"/>
                <w:color w:val="000000"/>
                <w:sz w:val="20"/>
                <w:szCs w:val="20"/>
                <w:lang w:val="en-US"/>
              </w:rPr>
            </w:pPr>
            <w:r>
              <w:rPr>
                <w:rFonts w:hint="eastAsia" w:ascii="仿宋_GB2312" w:hAnsi="仿宋_GB2312" w:eastAsia="仿宋_GB2312" w:cs="仿宋_GB2312"/>
                <w:color w:val="000000"/>
                <w:sz w:val="20"/>
                <w:szCs w:val="20"/>
              </w:rPr>
              <w:t>项目支出：</w:t>
            </w:r>
            <w:r>
              <w:rPr>
                <w:rFonts w:hint="eastAsia" w:ascii="仿宋_GB2312" w:hAnsi="仿宋_GB2312" w:eastAsia="仿宋_GB2312" w:cs="仿宋_GB2312"/>
                <w:color w:val="000000"/>
                <w:sz w:val="20"/>
                <w:szCs w:val="20"/>
                <w:highlight w:val="none"/>
                <w:lang w:val="en-US" w:eastAsia="zh-CN"/>
              </w:rPr>
              <w:t>432.62</w:t>
            </w:r>
          </w:p>
        </w:tc>
      </w:tr>
      <w:tr w14:paraId="6FE615C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BB253D2">
            <w:pPr>
              <w:widowControl/>
              <w:spacing w:line="240" w:lineRule="exact"/>
              <w:jc w:val="left"/>
              <w:rPr>
                <w:rFonts w:hint="eastAsia" w:ascii="仿宋_GB2312" w:hAnsi="仿宋_GB2312" w:eastAsia="仿宋_GB2312" w:cs="仿宋_GB2312"/>
                <w:color w:val="000000"/>
                <w:sz w:val="20"/>
                <w:szCs w:val="20"/>
              </w:rPr>
            </w:pPr>
            <w:bookmarkStart w:id="1" w:name="_GoBack" w:colFirst="5" w:colLast="8"/>
          </w:p>
        </w:tc>
        <w:tc>
          <w:tcPr>
            <w:tcW w:w="4695" w:type="dxa"/>
            <w:gridSpan w:val="4"/>
            <w:tcBorders>
              <w:top w:val="nil"/>
              <w:left w:val="nil"/>
              <w:bottom w:val="single" w:color="auto" w:sz="4" w:space="0"/>
              <w:right w:val="single" w:color="auto" w:sz="4" w:space="0"/>
            </w:tcBorders>
            <w:noWrap w:val="0"/>
            <w:vAlign w:val="center"/>
          </w:tcPr>
          <w:p w14:paraId="07640059">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纳入专户管理的非税收入拨款：</w:t>
            </w:r>
          </w:p>
        </w:tc>
        <w:tc>
          <w:tcPr>
            <w:tcW w:w="4304" w:type="dxa"/>
            <w:gridSpan w:val="4"/>
            <w:tcBorders>
              <w:top w:val="nil"/>
              <w:left w:val="nil"/>
              <w:bottom w:val="single" w:color="auto" w:sz="4" w:space="0"/>
              <w:right w:val="single" w:color="auto" w:sz="4" w:space="0"/>
            </w:tcBorders>
            <w:noWrap w:val="0"/>
            <w:vAlign w:val="center"/>
          </w:tcPr>
          <w:p w14:paraId="2B226198">
            <w:pPr>
              <w:widowControl/>
              <w:spacing w:line="240" w:lineRule="exact"/>
              <w:jc w:val="left"/>
              <w:rPr>
                <w:rFonts w:hint="eastAsia" w:ascii="仿宋_GB2312" w:hAnsi="仿宋_GB2312" w:eastAsia="仿宋_GB2312" w:cs="仿宋_GB2312"/>
                <w:color w:val="000000"/>
                <w:sz w:val="20"/>
                <w:szCs w:val="20"/>
              </w:rPr>
            </w:pPr>
          </w:p>
        </w:tc>
      </w:tr>
      <w:bookmarkEnd w:id="1"/>
      <w:tr w14:paraId="74F160D0">
        <w:tblPrEx>
          <w:tblCellMar>
            <w:top w:w="0" w:type="dxa"/>
            <w:left w:w="108" w:type="dxa"/>
            <w:bottom w:w="0" w:type="dxa"/>
            <w:right w:w="108" w:type="dxa"/>
          </w:tblCellMar>
        </w:tblPrEx>
        <w:trPr>
          <w:jc w:val="center"/>
        </w:trPr>
        <w:tc>
          <w:tcPr>
            <w:tcW w:w="1080" w:type="dxa"/>
            <w:vMerge w:val="continue"/>
            <w:tcBorders>
              <w:left w:val="single" w:color="auto" w:sz="4" w:space="0"/>
              <w:bottom w:val="single" w:color="000000" w:sz="4" w:space="0"/>
              <w:right w:val="single" w:color="auto" w:sz="4" w:space="0"/>
            </w:tcBorders>
            <w:noWrap w:val="0"/>
            <w:vAlign w:val="center"/>
          </w:tcPr>
          <w:p w14:paraId="6D333709">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nil"/>
              <w:left w:val="nil"/>
              <w:bottom w:val="single" w:color="auto" w:sz="4" w:space="0"/>
              <w:right w:val="single" w:color="auto" w:sz="4" w:space="0"/>
            </w:tcBorders>
            <w:noWrap w:val="0"/>
            <w:vAlign w:val="center"/>
          </w:tcPr>
          <w:p w14:paraId="5AF44FE6">
            <w:pPr>
              <w:widowControl/>
              <w:spacing w:line="240" w:lineRule="exact"/>
              <w:ind w:firstLine="1400" w:firstLineChars="700"/>
              <w:jc w:val="left"/>
              <w:rPr>
                <w:rFonts w:hint="default" w:ascii="仿宋_GB2312" w:hAnsi="仿宋_GB2312" w:eastAsia="仿宋_GB2312" w:cs="仿宋_GB2312"/>
                <w:color w:val="000000"/>
                <w:sz w:val="20"/>
                <w:szCs w:val="20"/>
                <w:lang w:val="en-US"/>
              </w:rPr>
            </w:pPr>
            <w:r>
              <w:rPr>
                <w:rFonts w:hint="eastAsia" w:ascii="仿宋_GB2312" w:hAnsi="仿宋_GB2312" w:eastAsia="仿宋_GB2312" w:cs="仿宋_GB2312"/>
                <w:color w:val="000000"/>
                <w:sz w:val="20"/>
                <w:szCs w:val="20"/>
              </w:rPr>
              <w:t>其他资金：</w:t>
            </w:r>
            <w:r>
              <w:rPr>
                <w:rFonts w:hint="eastAsia" w:ascii="仿宋_GB2312" w:hAnsi="仿宋_GB2312" w:eastAsia="仿宋_GB2312" w:cs="仿宋_GB2312"/>
                <w:color w:val="000000"/>
                <w:sz w:val="20"/>
                <w:szCs w:val="20"/>
                <w:highlight w:val="none"/>
                <w:lang w:val="en-US" w:eastAsia="zh-CN"/>
              </w:rPr>
              <w:t>0.76</w:t>
            </w:r>
          </w:p>
        </w:tc>
        <w:tc>
          <w:tcPr>
            <w:tcW w:w="4304" w:type="dxa"/>
            <w:gridSpan w:val="4"/>
            <w:tcBorders>
              <w:top w:val="nil"/>
              <w:left w:val="nil"/>
              <w:bottom w:val="single" w:color="auto" w:sz="4" w:space="0"/>
              <w:right w:val="single" w:color="auto" w:sz="4" w:space="0"/>
            </w:tcBorders>
            <w:noWrap w:val="0"/>
            <w:vAlign w:val="center"/>
          </w:tcPr>
          <w:p w14:paraId="45427C7A">
            <w:pPr>
              <w:widowControl/>
              <w:spacing w:line="240" w:lineRule="exact"/>
              <w:jc w:val="left"/>
              <w:rPr>
                <w:rFonts w:hint="eastAsia" w:ascii="仿宋_GB2312" w:hAnsi="仿宋_GB2312" w:eastAsia="仿宋_GB2312" w:cs="仿宋_GB2312"/>
                <w:color w:val="000000"/>
                <w:sz w:val="20"/>
                <w:szCs w:val="20"/>
              </w:rPr>
            </w:pPr>
          </w:p>
        </w:tc>
      </w:tr>
      <w:tr w14:paraId="4B7DDA8A">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6ED05826">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695" w:type="dxa"/>
            <w:gridSpan w:val="4"/>
            <w:tcBorders>
              <w:top w:val="single" w:color="auto" w:sz="4" w:space="0"/>
              <w:left w:val="nil"/>
              <w:bottom w:val="single" w:color="auto" w:sz="4" w:space="0"/>
              <w:right w:val="single" w:color="000000" w:sz="4" w:space="0"/>
            </w:tcBorders>
            <w:noWrap w:val="0"/>
            <w:vAlign w:val="center"/>
          </w:tcPr>
          <w:p w14:paraId="445C01E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304" w:type="dxa"/>
            <w:gridSpan w:val="4"/>
            <w:tcBorders>
              <w:top w:val="single" w:color="auto" w:sz="4" w:space="0"/>
              <w:left w:val="nil"/>
              <w:bottom w:val="single" w:color="auto" w:sz="4" w:space="0"/>
              <w:right w:val="single" w:color="auto" w:sz="4" w:space="0"/>
            </w:tcBorders>
            <w:noWrap w:val="0"/>
            <w:vAlign w:val="center"/>
          </w:tcPr>
          <w:p w14:paraId="090BF938">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14:paraId="601803C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26AF4FE">
            <w:pPr>
              <w:widowControl/>
              <w:spacing w:line="240" w:lineRule="exact"/>
              <w:jc w:val="left"/>
              <w:rPr>
                <w:rFonts w:hint="eastAsia" w:ascii="仿宋_GB2312" w:hAnsi="仿宋_GB2312" w:eastAsia="仿宋_GB2312" w:cs="仿宋_GB2312"/>
                <w:color w:val="000000"/>
                <w:sz w:val="20"/>
                <w:szCs w:val="20"/>
              </w:rPr>
            </w:pPr>
          </w:p>
        </w:tc>
        <w:tc>
          <w:tcPr>
            <w:tcW w:w="4695" w:type="dxa"/>
            <w:gridSpan w:val="4"/>
            <w:tcBorders>
              <w:top w:val="single" w:color="auto" w:sz="4" w:space="0"/>
              <w:left w:val="nil"/>
              <w:bottom w:val="single" w:color="auto" w:sz="4" w:space="0"/>
              <w:right w:val="single" w:color="000000" w:sz="4" w:space="0"/>
            </w:tcBorders>
            <w:noWrap w:val="0"/>
            <w:vAlign w:val="center"/>
          </w:tcPr>
          <w:p w14:paraId="193604A9">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4304" w:type="dxa"/>
            <w:gridSpan w:val="4"/>
            <w:tcBorders>
              <w:top w:val="single" w:color="auto" w:sz="4" w:space="0"/>
              <w:left w:val="nil"/>
              <w:bottom w:val="single" w:color="auto" w:sz="4" w:space="0"/>
              <w:right w:val="single" w:color="auto" w:sz="4" w:space="0"/>
            </w:tcBorders>
            <w:noWrap w:val="0"/>
            <w:vAlign w:val="center"/>
          </w:tcPr>
          <w:p w14:paraId="6455DF46">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7ED59EF8">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66BA82D6">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14:paraId="253F4A30">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14:paraId="56A7B5CA">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14:paraId="4DC867AB">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p w14:paraId="2F53B026">
            <w:pPr>
              <w:widowControl/>
              <w:spacing w:line="240" w:lineRule="exact"/>
              <w:jc w:val="center"/>
              <w:rPr>
                <w:rFonts w:hint="eastAsia" w:ascii="仿宋_GB2312" w:hAnsi="仿宋_GB2312" w:eastAsia="仿宋_GB2312" w:cs="仿宋_GB2312"/>
                <w:color w:val="000000"/>
                <w:sz w:val="20"/>
                <w:szCs w:val="20"/>
              </w:rPr>
            </w:pPr>
          </w:p>
        </w:tc>
        <w:tc>
          <w:tcPr>
            <w:tcW w:w="1080" w:type="dxa"/>
            <w:tcBorders>
              <w:top w:val="nil"/>
              <w:left w:val="nil"/>
              <w:bottom w:val="single" w:color="auto" w:sz="4" w:space="0"/>
              <w:right w:val="single" w:color="auto" w:sz="4" w:space="0"/>
            </w:tcBorders>
            <w:noWrap w:val="0"/>
            <w:vAlign w:val="center"/>
          </w:tcPr>
          <w:p w14:paraId="03C1F40F">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34" w:type="dxa"/>
            <w:tcBorders>
              <w:top w:val="nil"/>
              <w:left w:val="nil"/>
              <w:bottom w:val="single" w:color="auto" w:sz="4" w:space="0"/>
              <w:right w:val="single" w:color="auto" w:sz="4" w:space="0"/>
            </w:tcBorders>
            <w:noWrap w:val="0"/>
            <w:vAlign w:val="center"/>
          </w:tcPr>
          <w:p w14:paraId="7D1B64E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70" w:type="dxa"/>
            <w:tcBorders>
              <w:top w:val="nil"/>
              <w:left w:val="nil"/>
              <w:bottom w:val="single" w:color="auto" w:sz="4" w:space="0"/>
              <w:right w:val="single" w:color="auto" w:sz="4" w:space="0"/>
            </w:tcBorders>
            <w:noWrap w:val="0"/>
            <w:vAlign w:val="center"/>
          </w:tcPr>
          <w:p w14:paraId="5FA7E84F">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311" w:type="dxa"/>
            <w:tcBorders>
              <w:top w:val="nil"/>
              <w:left w:val="nil"/>
              <w:bottom w:val="single" w:color="auto" w:sz="4" w:space="0"/>
              <w:right w:val="single" w:color="auto" w:sz="4" w:space="0"/>
            </w:tcBorders>
            <w:noWrap w:val="0"/>
            <w:vAlign w:val="center"/>
          </w:tcPr>
          <w:p w14:paraId="284B505B">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年度指标值</w:t>
            </w:r>
          </w:p>
        </w:tc>
        <w:tc>
          <w:tcPr>
            <w:tcW w:w="1269" w:type="dxa"/>
            <w:tcBorders>
              <w:top w:val="nil"/>
              <w:left w:val="nil"/>
              <w:bottom w:val="single" w:color="auto" w:sz="4" w:space="0"/>
              <w:right w:val="single" w:color="auto" w:sz="4" w:space="0"/>
            </w:tcBorders>
            <w:noWrap w:val="0"/>
            <w:vAlign w:val="center"/>
          </w:tcPr>
          <w:p w14:paraId="4A7A8BF3">
            <w:pPr>
              <w:widowControl/>
              <w:spacing w:line="240" w:lineRule="exac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实际完成值</w:t>
            </w:r>
          </w:p>
        </w:tc>
        <w:tc>
          <w:tcPr>
            <w:tcW w:w="716" w:type="dxa"/>
            <w:tcBorders>
              <w:top w:val="nil"/>
              <w:left w:val="nil"/>
              <w:bottom w:val="single" w:color="auto" w:sz="4" w:space="0"/>
              <w:right w:val="single" w:color="auto" w:sz="4" w:space="0"/>
            </w:tcBorders>
            <w:noWrap w:val="0"/>
            <w:vAlign w:val="center"/>
          </w:tcPr>
          <w:p w14:paraId="7D0D8DEC">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0"/>
            <w:vAlign w:val="center"/>
          </w:tcPr>
          <w:p w14:paraId="409A5662">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46" w:type="dxa"/>
            <w:tcBorders>
              <w:top w:val="nil"/>
              <w:left w:val="nil"/>
              <w:bottom w:val="single" w:color="auto" w:sz="4" w:space="0"/>
              <w:right w:val="single" w:color="auto" w:sz="4" w:space="0"/>
            </w:tcBorders>
            <w:noWrap w:val="0"/>
            <w:vAlign w:val="center"/>
          </w:tcPr>
          <w:p w14:paraId="1F5A7A43">
            <w:pPr>
              <w:widowControl/>
              <w:spacing w:line="240" w:lineRule="exact"/>
              <w:jc w:val="both"/>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14:paraId="37973B87">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21DD932">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right w:val="single" w:color="auto" w:sz="4" w:space="0"/>
            </w:tcBorders>
            <w:noWrap w:val="0"/>
            <w:vAlign w:val="center"/>
          </w:tcPr>
          <w:p w14:paraId="2D9DBDCD">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14:paraId="10D6F9F3">
            <w:pPr>
              <w:widowControl/>
              <w:spacing w:line="240" w:lineRule="exact"/>
              <w:jc w:val="center"/>
              <w:rPr>
                <w:rFonts w:hint="eastAsia" w:ascii="仿宋_GB2312" w:hAnsi="仿宋_GB2312" w:eastAsia="仿宋_GB2312" w:cs="仿宋_GB2312"/>
                <w:color w:val="000000"/>
                <w:sz w:val="20"/>
                <w:szCs w:val="20"/>
              </w:rPr>
            </w:pPr>
          </w:p>
          <w:p w14:paraId="744F76CB">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3D36DC37">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70" w:type="dxa"/>
            <w:tcBorders>
              <w:top w:val="single" w:color="auto" w:sz="4" w:space="0"/>
              <w:left w:val="nil"/>
              <w:bottom w:val="single" w:color="auto" w:sz="4" w:space="0"/>
              <w:right w:val="single" w:color="auto" w:sz="4" w:space="0"/>
            </w:tcBorders>
            <w:noWrap w:val="0"/>
            <w:vAlign w:val="center"/>
          </w:tcPr>
          <w:p w14:paraId="69268017">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继续加强技术示范基地创建和信息化服务建设平台建设</w:t>
            </w:r>
          </w:p>
        </w:tc>
        <w:tc>
          <w:tcPr>
            <w:tcW w:w="1311" w:type="dxa"/>
            <w:tcBorders>
              <w:top w:val="nil"/>
              <w:left w:val="nil"/>
              <w:bottom w:val="single" w:color="auto" w:sz="4" w:space="0"/>
              <w:right w:val="single" w:color="auto" w:sz="4" w:space="0"/>
            </w:tcBorders>
            <w:noWrap w:val="0"/>
            <w:vAlign w:val="center"/>
          </w:tcPr>
          <w:p w14:paraId="2B7D168A">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创建4个技术推广示范基地，2个农民培训基地，1个农业综合服务信息化平台。</w:t>
            </w:r>
          </w:p>
        </w:tc>
        <w:tc>
          <w:tcPr>
            <w:tcW w:w="1269" w:type="dxa"/>
            <w:tcBorders>
              <w:top w:val="nil"/>
              <w:left w:val="nil"/>
              <w:bottom w:val="single" w:color="auto" w:sz="4" w:space="0"/>
              <w:right w:val="single" w:color="auto" w:sz="4" w:space="0"/>
            </w:tcBorders>
            <w:noWrap w:val="0"/>
            <w:vAlign w:val="center"/>
          </w:tcPr>
          <w:p w14:paraId="7C3C0E6B">
            <w:pPr>
              <w:widowControl/>
              <w:tabs>
                <w:tab w:val="center" w:pos="526"/>
              </w:tabs>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ab/>
            </w:r>
            <w:r>
              <w:rPr>
                <w:rFonts w:hint="eastAsia" w:ascii="仿宋_GB2312" w:hAnsi="仿宋_GB2312" w:eastAsia="仿宋_GB2312" w:cs="仿宋_GB2312"/>
                <w:color w:val="000000"/>
                <w:sz w:val="20"/>
                <w:szCs w:val="20"/>
              </w:rPr>
              <w:t>创建4个技术推广示范基地，2个农民培训基地，1个农业综合服务信息化平台。</w:t>
            </w:r>
          </w:p>
        </w:tc>
        <w:tc>
          <w:tcPr>
            <w:tcW w:w="716" w:type="dxa"/>
            <w:tcBorders>
              <w:top w:val="nil"/>
              <w:left w:val="nil"/>
              <w:bottom w:val="single" w:color="auto" w:sz="4" w:space="0"/>
              <w:right w:val="single" w:color="auto" w:sz="4" w:space="0"/>
            </w:tcBorders>
            <w:noWrap w:val="0"/>
            <w:vAlign w:val="center"/>
          </w:tcPr>
          <w:p w14:paraId="04CCAF66">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w:t>
            </w:r>
          </w:p>
        </w:tc>
        <w:tc>
          <w:tcPr>
            <w:tcW w:w="873" w:type="dxa"/>
            <w:tcBorders>
              <w:top w:val="nil"/>
              <w:left w:val="nil"/>
              <w:bottom w:val="single" w:color="auto" w:sz="4" w:space="0"/>
              <w:right w:val="single" w:color="auto" w:sz="4" w:space="0"/>
            </w:tcBorders>
            <w:noWrap w:val="0"/>
            <w:vAlign w:val="center"/>
          </w:tcPr>
          <w:p w14:paraId="3F994627">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w:t>
            </w:r>
          </w:p>
        </w:tc>
        <w:tc>
          <w:tcPr>
            <w:tcW w:w="1446" w:type="dxa"/>
            <w:tcBorders>
              <w:top w:val="nil"/>
              <w:left w:val="nil"/>
              <w:bottom w:val="single" w:color="auto" w:sz="4" w:space="0"/>
              <w:right w:val="single" w:color="auto" w:sz="4" w:space="0"/>
            </w:tcBorders>
            <w:noWrap w:val="0"/>
            <w:vAlign w:val="center"/>
          </w:tcPr>
          <w:p w14:paraId="23DDFEBE">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5AD1DCA">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335EF05">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single" w:color="auto" w:sz="4" w:space="0"/>
              <w:right w:val="single" w:color="auto" w:sz="4" w:space="0"/>
            </w:tcBorders>
            <w:noWrap w:val="0"/>
            <w:vAlign w:val="center"/>
          </w:tcPr>
          <w:p w14:paraId="10C8592B">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3AB66D17">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70" w:type="dxa"/>
            <w:tcBorders>
              <w:top w:val="single" w:color="auto" w:sz="4" w:space="0"/>
              <w:left w:val="nil"/>
              <w:bottom w:val="single" w:color="auto" w:sz="4" w:space="0"/>
              <w:right w:val="single" w:color="auto" w:sz="4" w:space="0"/>
            </w:tcBorders>
            <w:noWrap w:val="0"/>
            <w:vAlign w:val="center"/>
          </w:tcPr>
          <w:p w14:paraId="04C4C8FB">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推进水稻生产关键技术、农机”三减量“技术和病虫害技术示范推广，确保粮食生产关键技术覆盖率提高化肥、农药降低</w:t>
            </w:r>
          </w:p>
        </w:tc>
        <w:tc>
          <w:tcPr>
            <w:tcW w:w="1311" w:type="dxa"/>
            <w:tcBorders>
              <w:top w:val="nil"/>
              <w:left w:val="nil"/>
              <w:bottom w:val="single" w:color="auto" w:sz="4" w:space="0"/>
              <w:right w:val="single" w:color="auto" w:sz="4" w:space="0"/>
            </w:tcBorders>
            <w:noWrap w:val="0"/>
            <w:vAlign w:val="center"/>
          </w:tcPr>
          <w:p w14:paraId="461906C2">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粮食生产关键技术覆盖率达100%，化肥、农药零增长</w:t>
            </w:r>
          </w:p>
        </w:tc>
        <w:tc>
          <w:tcPr>
            <w:tcW w:w="1269" w:type="dxa"/>
            <w:tcBorders>
              <w:top w:val="nil"/>
              <w:left w:val="nil"/>
              <w:bottom w:val="single" w:color="auto" w:sz="4" w:space="0"/>
              <w:right w:val="single" w:color="auto" w:sz="4" w:space="0"/>
            </w:tcBorders>
            <w:noWrap w:val="0"/>
            <w:vAlign w:val="center"/>
          </w:tcPr>
          <w:p w14:paraId="085552BE">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粮食生产关键技术覆盖率达100%，化肥、农药零增长</w:t>
            </w:r>
          </w:p>
        </w:tc>
        <w:tc>
          <w:tcPr>
            <w:tcW w:w="716" w:type="dxa"/>
            <w:tcBorders>
              <w:top w:val="nil"/>
              <w:left w:val="nil"/>
              <w:bottom w:val="single" w:color="auto" w:sz="4" w:space="0"/>
              <w:right w:val="single" w:color="auto" w:sz="4" w:space="0"/>
            </w:tcBorders>
            <w:noWrap w:val="0"/>
            <w:vAlign w:val="center"/>
          </w:tcPr>
          <w:p w14:paraId="34790852">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w:t>
            </w:r>
          </w:p>
        </w:tc>
        <w:tc>
          <w:tcPr>
            <w:tcW w:w="873" w:type="dxa"/>
            <w:tcBorders>
              <w:top w:val="nil"/>
              <w:left w:val="nil"/>
              <w:bottom w:val="single" w:color="auto" w:sz="4" w:space="0"/>
              <w:right w:val="single" w:color="auto" w:sz="4" w:space="0"/>
            </w:tcBorders>
            <w:noWrap w:val="0"/>
            <w:vAlign w:val="center"/>
          </w:tcPr>
          <w:p w14:paraId="27C40D1D">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15</w:t>
            </w:r>
          </w:p>
        </w:tc>
        <w:tc>
          <w:tcPr>
            <w:tcW w:w="1446" w:type="dxa"/>
            <w:tcBorders>
              <w:top w:val="nil"/>
              <w:left w:val="nil"/>
              <w:bottom w:val="single" w:color="auto" w:sz="4" w:space="0"/>
              <w:right w:val="single" w:color="auto" w:sz="4" w:space="0"/>
            </w:tcBorders>
            <w:noWrap w:val="0"/>
            <w:vAlign w:val="center"/>
          </w:tcPr>
          <w:p w14:paraId="2CB346FE">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B5E90A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754E938">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single" w:color="auto" w:sz="4" w:space="0"/>
              <w:right w:val="single" w:color="auto" w:sz="4" w:space="0"/>
            </w:tcBorders>
            <w:noWrap w:val="0"/>
            <w:vAlign w:val="center"/>
          </w:tcPr>
          <w:p w14:paraId="44846258">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1A2FD60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70" w:type="dxa"/>
            <w:tcBorders>
              <w:top w:val="single" w:color="auto" w:sz="4" w:space="0"/>
              <w:left w:val="nil"/>
              <w:bottom w:val="single" w:color="auto" w:sz="4" w:space="0"/>
              <w:right w:val="single" w:color="auto" w:sz="4" w:space="0"/>
            </w:tcBorders>
            <w:noWrap w:val="0"/>
            <w:vAlign w:val="center"/>
          </w:tcPr>
          <w:p w14:paraId="7EB8CA31">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1.项目完成时间</w:t>
            </w:r>
          </w:p>
          <w:p w14:paraId="397B1A10">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2.各阶段按时完成率</w:t>
            </w:r>
          </w:p>
        </w:tc>
        <w:tc>
          <w:tcPr>
            <w:tcW w:w="1311" w:type="dxa"/>
            <w:tcBorders>
              <w:top w:val="single" w:color="auto" w:sz="4" w:space="0"/>
              <w:left w:val="nil"/>
              <w:bottom w:val="single" w:color="auto" w:sz="4" w:space="0"/>
              <w:right w:val="single" w:color="auto" w:sz="4" w:space="0"/>
            </w:tcBorders>
            <w:noWrap w:val="0"/>
            <w:vAlign w:val="center"/>
          </w:tcPr>
          <w:p w14:paraId="16169A23">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2024年12月31日</w:t>
            </w:r>
          </w:p>
        </w:tc>
        <w:tc>
          <w:tcPr>
            <w:tcW w:w="1269" w:type="dxa"/>
            <w:tcBorders>
              <w:top w:val="single" w:color="auto" w:sz="4" w:space="0"/>
              <w:left w:val="nil"/>
              <w:bottom w:val="single" w:color="auto" w:sz="4" w:space="0"/>
              <w:right w:val="single" w:color="auto" w:sz="4" w:space="0"/>
            </w:tcBorders>
            <w:noWrap w:val="0"/>
            <w:vAlign w:val="center"/>
          </w:tcPr>
          <w:p w14:paraId="3B822ED1">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2024年12月31日</w:t>
            </w:r>
          </w:p>
        </w:tc>
        <w:tc>
          <w:tcPr>
            <w:tcW w:w="716" w:type="dxa"/>
            <w:tcBorders>
              <w:top w:val="single" w:color="auto" w:sz="4" w:space="0"/>
              <w:left w:val="nil"/>
              <w:bottom w:val="single" w:color="auto" w:sz="4" w:space="0"/>
              <w:right w:val="single" w:color="auto" w:sz="4" w:space="0"/>
            </w:tcBorders>
            <w:noWrap w:val="0"/>
            <w:vAlign w:val="center"/>
          </w:tcPr>
          <w:p w14:paraId="455191AE">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58CC3EC5">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nil"/>
              <w:bottom w:val="single" w:color="auto" w:sz="4" w:space="0"/>
              <w:right w:val="single" w:color="auto" w:sz="4" w:space="0"/>
            </w:tcBorders>
            <w:noWrap w:val="0"/>
            <w:vAlign w:val="center"/>
          </w:tcPr>
          <w:p w14:paraId="752E2A21">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3263A5EB">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69CB584">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single" w:color="auto" w:sz="4" w:space="0"/>
              <w:bottom w:val="single" w:color="auto" w:sz="4" w:space="0"/>
              <w:right w:val="single" w:color="auto" w:sz="4" w:space="0"/>
            </w:tcBorders>
            <w:noWrap w:val="0"/>
            <w:vAlign w:val="center"/>
          </w:tcPr>
          <w:p w14:paraId="08597EBF">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nil"/>
              <w:bottom w:val="single" w:color="auto" w:sz="4" w:space="0"/>
              <w:right w:val="single" w:color="auto" w:sz="4" w:space="0"/>
            </w:tcBorders>
            <w:noWrap w:val="0"/>
            <w:vAlign w:val="center"/>
          </w:tcPr>
          <w:p w14:paraId="6D58C91F">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70" w:type="dxa"/>
            <w:tcBorders>
              <w:top w:val="single" w:color="auto" w:sz="4" w:space="0"/>
              <w:left w:val="nil"/>
              <w:bottom w:val="single" w:color="auto" w:sz="4" w:space="0"/>
              <w:right w:val="single" w:color="auto" w:sz="4" w:space="0"/>
            </w:tcBorders>
            <w:noWrap w:val="0"/>
            <w:vAlign w:val="center"/>
          </w:tcPr>
          <w:p w14:paraId="7AF851D7">
            <w:pPr>
              <w:widowControl/>
              <w:spacing w:line="240"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控制在预算范围内</w:t>
            </w:r>
          </w:p>
        </w:tc>
        <w:tc>
          <w:tcPr>
            <w:tcW w:w="1311" w:type="dxa"/>
            <w:tcBorders>
              <w:top w:val="single" w:color="auto" w:sz="4" w:space="0"/>
              <w:left w:val="nil"/>
              <w:bottom w:val="single" w:color="auto" w:sz="4" w:space="0"/>
              <w:right w:val="single" w:color="auto" w:sz="4" w:space="0"/>
            </w:tcBorders>
            <w:noWrap w:val="0"/>
            <w:vAlign w:val="center"/>
          </w:tcPr>
          <w:p w14:paraId="17EC5862">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控制在预算范围内</w:t>
            </w:r>
          </w:p>
        </w:tc>
        <w:tc>
          <w:tcPr>
            <w:tcW w:w="1269" w:type="dxa"/>
            <w:tcBorders>
              <w:top w:val="single" w:color="auto" w:sz="4" w:space="0"/>
              <w:left w:val="nil"/>
              <w:bottom w:val="single" w:color="auto" w:sz="4" w:space="0"/>
              <w:right w:val="single" w:color="auto" w:sz="4" w:space="0"/>
            </w:tcBorders>
            <w:noWrap w:val="0"/>
            <w:vAlign w:val="center"/>
          </w:tcPr>
          <w:p w14:paraId="41E50EC8">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控制在预算范围内</w:t>
            </w:r>
          </w:p>
        </w:tc>
        <w:tc>
          <w:tcPr>
            <w:tcW w:w="716" w:type="dxa"/>
            <w:tcBorders>
              <w:top w:val="single" w:color="auto" w:sz="4" w:space="0"/>
              <w:left w:val="nil"/>
              <w:bottom w:val="single" w:color="auto" w:sz="4" w:space="0"/>
              <w:right w:val="single" w:color="auto" w:sz="4" w:space="0"/>
            </w:tcBorders>
            <w:noWrap w:val="0"/>
            <w:vAlign w:val="center"/>
          </w:tcPr>
          <w:p w14:paraId="0BA3E9EC">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14:paraId="213BBE81">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single" w:color="auto" w:sz="4" w:space="0"/>
              <w:left w:val="nil"/>
              <w:bottom w:val="single" w:color="auto" w:sz="4" w:space="0"/>
              <w:right w:val="single" w:color="auto" w:sz="4" w:space="0"/>
            </w:tcBorders>
            <w:noWrap w:val="0"/>
            <w:vAlign w:val="center"/>
          </w:tcPr>
          <w:p w14:paraId="67095228">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0CFAED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971C88B">
            <w:pPr>
              <w:spacing w:line="240" w:lineRule="exact"/>
              <w:jc w:val="left"/>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right w:val="single" w:color="auto" w:sz="4" w:space="0"/>
            </w:tcBorders>
            <w:noWrap w:val="0"/>
            <w:vAlign w:val="center"/>
          </w:tcPr>
          <w:p w14:paraId="1F398577">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14:paraId="3B07EF3C">
            <w:pPr>
              <w:widowControl/>
              <w:spacing w:line="240" w:lineRule="exact"/>
              <w:jc w:val="left"/>
              <w:rPr>
                <w:rFonts w:hint="eastAsia" w:ascii="仿宋_GB2312" w:hAnsi="仿宋_GB2312" w:eastAsia="仿宋_GB2312" w:cs="仿宋_GB2312"/>
                <w:color w:val="000000"/>
                <w:sz w:val="20"/>
                <w:szCs w:val="20"/>
              </w:rPr>
            </w:pPr>
          </w:p>
          <w:p w14:paraId="7D14EE03">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14:paraId="014DB1F8">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5EDA5263">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14:paraId="6266B6DF">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44C6C8F4">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1.水稻耕种收综合机械化水平提高.</w:t>
            </w:r>
          </w:p>
          <w:p w14:paraId="58CD2ECB">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2.培训农民。</w:t>
            </w:r>
          </w:p>
          <w:p w14:paraId="430E0FA0">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3.粮食生产关键技术覆盖率提高，</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67888C81">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1.水稻耕种收综合机械化水平提高1%，达83%。</w:t>
            </w:r>
          </w:p>
          <w:p w14:paraId="166CE8B6">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2.培训农民200人。</w:t>
            </w:r>
          </w:p>
          <w:p w14:paraId="4E4A7558">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3.粮食生产关键技术覆盖率达100%　</w:t>
            </w:r>
          </w:p>
        </w:tc>
        <w:tc>
          <w:tcPr>
            <w:tcW w:w="1269" w:type="dxa"/>
            <w:tcBorders>
              <w:top w:val="nil"/>
              <w:left w:val="nil"/>
              <w:bottom w:val="single" w:color="auto" w:sz="4" w:space="0"/>
              <w:right w:val="single" w:color="auto" w:sz="4" w:space="0"/>
            </w:tcBorders>
            <w:noWrap w:val="0"/>
            <w:vAlign w:val="center"/>
          </w:tcPr>
          <w:p w14:paraId="2B21863D">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1.水稻耕种收综合机械化水平提高1%，达83%。</w:t>
            </w:r>
          </w:p>
          <w:p w14:paraId="46312F39">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2.培训农民200人。</w:t>
            </w:r>
          </w:p>
          <w:p w14:paraId="65221721">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3.粮食生产关键技术覆盖率达100%</w:t>
            </w:r>
          </w:p>
        </w:tc>
        <w:tc>
          <w:tcPr>
            <w:tcW w:w="716" w:type="dxa"/>
            <w:tcBorders>
              <w:top w:val="nil"/>
              <w:left w:val="nil"/>
              <w:bottom w:val="single" w:color="auto" w:sz="4" w:space="0"/>
              <w:right w:val="single" w:color="auto" w:sz="4" w:space="0"/>
            </w:tcBorders>
            <w:noWrap w:val="0"/>
            <w:vAlign w:val="center"/>
          </w:tcPr>
          <w:p w14:paraId="6AF63781">
            <w:pPr>
              <w:widowControl/>
              <w:spacing w:line="240" w:lineRule="exact"/>
              <w:ind w:firstLine="200" w:firstLineChars="100"/>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r>
              <w:rPr>
                <w:rFonts w:hint="eastAsia" w:ascii="仿宋_GB2312" w:hAnsi="仿宋_GB2312" w:eastAsia="仿宋_GB2312" w:cs="仿宋_GB2312"/>
                <w:color w:val="000000"/>
                <w:sz w:val="20"/>
                <w:szCs w:val="20"/>
              </w:rPr>
              <w:t>　</w:t>
            </w:r>
          </w:p>
        </w:tc>
        <w:tc>
          <w:tcPr>
            <w:tcW w:w="873" w:type="dxa"/>
            <w:tcBorders>
              <w:top w:val="nil"/>
              <w:left w:val="nil"/>
              <w:bottom w:val="single" w:color="auto" w:sz="4" w:space="0"/>
              <w:right w:val="single" w:color="auto" w:sz="4" w:space="0"/>
            </w:tcBorders>
            <w:noWrap w:val="0"/>
            <w:vAlign w:val="center"/>
          </w:tcPr>
          <w:p w14:paraId="7591D826">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14:paraId="3E834C63">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6437813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ED8A9AF">
            <w:pPr>
              <w:spacing w:line="240" w:lineRule="exact"/>
              <w:jc w:val="left"/>
              <w:rPr>
                <w:rFonts w:hint="eastAsia" w:ascii="仿宋_GB2312" w:hAnsi="仿宋_GB2312" w:eastAsia="仿宋_GB2312" w:cs="仿宋_GB2312"/>
                <w:color w:val="000000"/>
                <w:sz w:val="20"/>
                <w:szCs w:val="20"/>
              </w:rPr>
            </w:pPr>
          </w:p>
        </w:tc>
        <w:tc>
          <w:tcPr>
            <w:tcW w:w="1080" w:type="dxa"/>
            <w:vMerge w:val="continue"/>
            <w:tcBorders>
              <w:left w:val="single" w:color="auto" w:sz="4" w:space="0"/>
              <w:bottom w:val="single" w:color="auto" w:sz="4" w:space="0"/>
              <w:right w:val="single" w:color="auto" w:sz="4" w:space="0"/>
            </w:tcBorders>
            <w:noWrap w:val="0"/>
            <w:vAlign w:val="center"/>
          </w:tcPr>
          <w:p w14:paraId="5D020A80">
            <w:pPr>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nil"/>
              <w:bottom w:val="single" w:color="auto" w:sz="4" w:space="0"/>
              <w:right w:val="single" w:color="auto" w:sz="4" w:space="0"/>
            </w:tcBorders>
            <w:noWrap w:val="0"/>
            <w:vAlign w:val="center"/>
          </w:tcPr>
          <w:p w14:paraId="4F4BD379">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14:paraId="3C64AC95">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70" w:type="dxa"/>
            <w:tcBorders>
              <w:top w:val="single" w:color="auto" w:sz="4" w:space="0"/>
              <w:left w:val="nil"/>
              <w:bottom w:val="single" w:color="auto" w:sz="4" w:space="0"/>
              <w:right w:val="single" w:color="auto" w:sz="4" w:space="0"/>
            </w:tcBorders>
            <w:noWrap w:val="0"/>
            <w:vAlign w:val="center"/>
          </w:tcPr>
          <w:p w14:paraId="48A7A8B3">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1.劳动强度降低</w:t>
            </w:r>
          </w:p>
          <w:p w14:paraId="68644D2A">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2.粮食总产稳定</w:t>
            </w:r>
          </w:p>
        </w:tc>
        <w:tc>
          <w:tcPr>
            <w:tcW w:w="1311" w:type="dxa"/>
            <w:tcBorders>
              <w:top w:val="single" w:color="auto" w:sz="4" w:space="0"/>
              <w:left w:val="nil"/>
              <w:bottom w:val="single" w:color="auto" w:sz="4" w:space="0"/>
              <w:right w:val="single" w:color="auto" w:sz="4" w:space="0"/>
            </w:tcBorders>
            <w:noWrap w:val="0"/>
            <w:vAlign w:val="center"/>
          </w:tcPr>
          <w:p w14:paraId="50F24FC0">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1.劳动强度降低</w:t>
            </w:r>
          </w:p>
          <w:p w14:paraId="0FE93C72">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2.粮食总产稳定在300万吨</w:t>
            </w:r>
          </w:p>
        </w:tc>
        <w:tc>
          <w:tcPr>
            <w:tcW w:w="1269" w:type="dxa"/>
            <w:tcBorders>
              <w:top w:val="nil"/>
              <w:left w:val="nil"/>
              <w:bottom w:val="single" w:color="auto" w:sz="4" w:space="0"/>
              <w:right w:val="single" w:color="auto" w:sz="4" w:space="0"/>
            </w:tcBorders>
            <w:noWrap w:val="0"/>
            <w:vAlign w:val="center"/>
          </w:tcPr>
          <w:p w14:paraId="198B4682">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1.劳动强度降低</w:t>
            </w:r>
          </w:p>
          <w:p w14:paraId="596F0AFD">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2.粮食总产稳定在300万吨</w:t>
            </w:r>
          </w:p>
        </w:tc>
        <w:tc>
          <w:tcPr>
            <w:tcW w:w="716" w:type="dxa"/>
            <w:tcBorders>
              <w:top w:val="nil"/>
              <w:left w:val="nil"/>
              <w:bottom w:val="single" w:color="auto" w:sz="4" w:space="0"/>
              <w:right w:val="single" w:color="auto" w:sz="4" w:space="0"/>
            </w:tcBorders>
            <w:noWrap w:val="0"/>
            <w:vAlign w:val="center"/>
          </w:tcPr>
          <w:p w14:paraId="3E347515">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14:paraId="612D05A4">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14:paraId="40E25F47">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1E9B46EB">
        <w:tblPrEx>
          <w:tblCellMar>
            <w:top w:w="0" w:type="dxa"/>
            <w:left w:w="108" w:type="dxa"/>
            <w:bottom w:w="0" w:type="dxa"/>
            <w:right w:w="108" w:type="dxa"/>
          </w:tblCellMar>
        </w:tblPrEx>
        <w:trPr>
          <w:trHeight w:val="290" w:hRule="atLeast"/>
          <w:jc w:val="center"/>
        </w:trPr>
        <w:tc>
          <w:tcPr>
            <w:tcW w:w="1080" w:type="dxa"/>
            <w:vMerge w:val="continue"/>
            <w:tcBorders>
              <w:left w:val="single" w:color="auto" w:sz="4" w:space="0"/>
              <w:right w:val="single" w:color="auto" w:sz="4" w:space="0"/>
            </w:tcBorders>
            <w:noWrap w:val="0"/>
            <w:vAlign w:val="center"/>
          </w:tcPr>
          <w:p w14:paraId="61F359FB">
            <w:pPr>
              <w:widowControl/>
              <w:spacing w:line="240" w:lineRule="exact"/>
              <w:jc w:val="center"/>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7D1E300">
            <w:pPr>
              <w:widowControl/>
              <w:spacing w:line="240" w:lineRule="exact"/>
              <w:jc w:val="left"/>
              <w:rPr>
                <w:rFonts w:hint="eastAsia" w:ascii="仿宋_GB2312" w:hAnsi="仿宋_GB2312" w:eastAsia="仿宋_GB2312" w:cs="仿宋_GB2312"/>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14:paraId="6F276D21">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70" w:type="dxa"/>
            <w:tcBorders>
              <w:top w:val="single" w:color="auto" w:sz="4" w:space="0"/>
              <w:left w:val="single" w:color="auto" w:sz="4" w:space="0"/>
              <w:bottom w:val="single" w:color="auto" w:sz="4" w:space="0"/>
              <w:right w:val="single" w:color="auto" w:sz="4" w:space="0"/>
            </w:tcBorders>
            <w:noWrap w:val="0"/>
            <w:vAlign w:val="center"/>
          </w:tcPr>
          <w:p w14:paraId="10C29FF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1.单位管理更加规范，推广服务能力全面提升。</w:t>
            </w:r>
          </w:p>
          <w:p w14:paraId="37DA40F9">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2.规范黄茶机械加工标准</w:t>
            </w:r>
          </w:p>
        </w:tc>
        <w:tc>
          <w:tcPr>
            <w:tcW w:w="1311" w:type="dxa"/>
            <w:tcBorders>
              <w:top w:val="single" w:color="auto" w:sz="4" w:space="0"/>
              <w:left w:val="single" w:color="auto" w:sz="4" w:space="0"/>
              <w:bottom w:val="single" w:color="auto" w:sz="4" w:space="0"/>
              <w:right w:val="single" w:color="auto" w:sz="4" w:space="0"/>
            </w:tcBorders>
            <w:noWrap w:val="0"/>
            <w:vAlign w:val="center"/>
          </w:tcPr>
          <w:p w14:paraId="76B5FFC2">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69" w:type="dxa"/>
            <w:tcBorders>
              <w:top w:val="single" w:color="auto" w:sz="4" w:space="0"/>
              <w:left w:val="single" w:color="auto" w:sz="4" w:space="0"/>
              <w:bottom w:val="single" w:color="auto" w:sz="4" w:space="0"/>
              <w:right w:val="single" w:color="auto" w:sz="4" w:space="0"/>
            </w:tcBorders>
            <w:noWrap w:val="0"/>
            <w:vAlign w:val="center"/>
          </w:tcPr>
          <w:p w14:paraId="71825B68">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16" w:type="dxa"/>
            <w:tcBorders>
              <w:top w:val="single" w:color="auto" w:sz="4" w:space="0"/>
              <w:left w:val="single" w:color="auto" w:sz="4" w:space="0"/>
              <w:bottom w:val="single" w:color="auto" w:sz="4" w:space="0"/>
              <w:right w:val="single" w:color="auto" w:sz="4" w:space="0"/>
            </w:tcBorders>
            <w:noWrap w:val="0"/>
            <w:vAlign w:val="center"/>
          </w:tcPr>
          <w:p w14:paraId="29ADD6EA">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685AAAC">
            <w:pPr>
              <w:widowControl/>
              <w:spacing w:line="240" w:lineRule="exact"/>
              <w:jc w:val="left"/>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7</w:t>
            </w:r>
          </w:p>
        </w:tc>
        <w:tc>
          <w:tcPr>
            <w:tcW w:w="1446" w:type="dxa"/>
            <w:tcBorders>
              <w:top w:val="single" w:color="auto" w:sz="4" w:space="0"/>
              <w:left w:val="single" w:color="auto" w:sz="4" w:space="0"/>
              <w:bottom w:val="single" w:color="auto" w:sz="4" w:space="0"/>
              <w:right w:val="single" w:color="auto" w:sz="4" w:space="0"/>
            </w:tcBorders>
            <w:noWrap w:val="0"/>
            <w:vAlign w:val="center"/>
          </w:tcPr>
          <w:p w14:paraId="6D3D2BC4">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14:paraId="0F45BDF9">
        <w:tblPrEx>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right w:val="single" w:color="auto" w:sz="4" w:space="0"/>
            </w:tcBorders>
            <w:noWrap w:val="0"/>
            <w:vAlign w:val="center"/>
          </w:tcPr>
          <w:p w14:paraId="73B89EB4">
            <w:pPr>
              <w:spacing w:line="240" w:lineRule="exact"/>
              <w:jc w:val="left"/>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401CD4C">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14:paraId="14011740">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14:paraId="0538D8E7">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34" w:type="dxa"/>
            <w:tcBorders>
              <w:top w:val="single" w:color="auto" w:sz="4" w:space="0"/>
              <w:left w:val="single" w:color="auto" w:sz="4" w:space="0"/>
              <w:bottom w:val="single" w:color="auto" w:sz="4" w:space="0"/>
              <w:right w:val="single" w:color="auto" w:sz="4" w:space="0"/>
            </w:tcBorders>
            <w:noWrap w:val="0"/>
            <w:vAlign w:val="center"/>
          </w:tcPr>
          <w:p w14:paraId="496F02D0">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70" w:type="dxa"/>
            <w:tcBorders>
              <w:top w:val="nil"/>
              <w:left w:val="nil"/>
              <w:bottom w:val="single" w:color="auto" w:sz="4" w:space="0"/>
              <w:right w:val="single" w:color="auto" w:sz="4" w:space="0"/>
            </w:tcBorders>
            <w:noWrap w:val="0"/>
            <w:vAlign w:val="center"/>
          </w:tcPr>
          <w:p w14:paraId="0738A5CD">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服务水平不断提高，让群众满意。</w:t>
            </w:r>
          </w:p>
        </w:tc>
        <w:tc>
          <w:tcPr>
            <w:tcW w:w="1311" w:type="dxa"/>
            <w:tcBorders>
              <w:top w:val="nil"/>
              <w:left w:val="nil"/>
              <w:bottom w:val="single" w:color="auto" w:sz="4" w:space="0"/>
              <w:right w:val="single" w:color="auto" w:sz="4" w:space="0"/>
            </w:tcBorders>
            <w:noWrap w:val="0"/>
            <w:vAlign w:val="center"/>
          </w:tcPr>
          <w:p w14:paraId="476B1DC3">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1.≥90%</w:t>
            </w:r>
          </w:p>
        </w:tc>
        <w:tc>
          <w:tcPr>
            <w:tcW w:w="1269" w:type="dxa"/>
            <w:tcBorders>
              <w:top w:val="nil"/>
              <w:left w:val="nil"/>
              <w:bottom w:val="single" w:color="auto" w:sz="4" w:space="0"/>
              <w:right w:val="single" w:color="auto" w:sz="4" w:space="0"/>
            </w:tcBorders>
            <w:noWrap w:val="0"/>
            <w:vAlign w:val="center"/>
          </w:tcPr>
          <w:p w14:paraId="374A91B7">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1.≥90%</w:t>
            </w:r>
          </w:p>
        </w:tc>
        <w:tc>
          <w:tcPr>
            <w:tcW w:w="716" w:type="dxa"/>
            <w:tcBorders>
              <w:top w:val="nil"/>
              <w:left w:val="nil"/>
              <w:bottom w:val="single" w:color="auto" w:sz="4" w:space="0"/>
              <w:right w:val="single" w:color="auto" w:sz="4" w:space="0"/>
            </w:tcBorders>
            <w:noWrap w:val="0"/>
            <w:vAlign w:val="center"/>
          </w:tcPr>
          <w:p w14:paraId="6F4B9963">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14:paraId="524BDAF3">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446" w:type="dxa"/>
            <w:tcBorders>
              <w:top w:val="nil"/>
              <w:left w:val="nil"/>
              <w:bottom w:val="single" w:color="auto" w:sz="4" w:space="0"/>
              <w:right w:val="single" w:color="auto" w:sz="4" w:space="0"/>
            </w:tcBorders>
            <w:noWrap w:val="0"/>
            <w:vAlign w:val="center"/>
          </w:tcPr>
          <w:p w14:paraId="5D05DBD2">
            <w:pPr>
              <w:widowControl/>
              <w:spacing w:line="240" w:lineRule="exact"/>
              <w:jc w:val="left"/>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服务水平进一步提升。</w:t>
            </w:r>
          </w:p>
        </w:tc>
      </w:tr>
      <w:tr w14:paraId="09DC0745">
        <w:tblPrEx>
          <w:tblCellMar>
            <w:top w:w="0" w:type="dxa"/>
            <w:left w:w="108" w:type="dxa"/>
            <w:bottom w:w="0" w:type="dxa"/>
            <w:right w:w="108" w:type="dxa"/>
          </w:tblCellMar>
        </w:tblPrEx>
        <w:trPr>
          <w:trHeight w:val="270" w:hRule="atLeast"/>
          <w:jc w:val="center"/>
        </w:trPr>
        <w:tc>
          <w:tcPr>
            <w:tcW w:w="7044" w:type="dxa"/>
            <w:gridSpan w:val="6"/>
            <w:tcBorders>
              <w:top w:val="single" w:color="auto" w:sz="4" w:space="0"/>
              <w:left w:val="single" w:color="auto" w:sz="4" w:space="0"/>
              <w:bottom w:val="single" w:color="auto" w:sz="4" w:space="0"/>
              <w:right w:val="single" w:color="000000" w:sz="4" w:space="0"/>
            </w:tcBorders>
            <w:noWrap w:val="0"/>
            <w:vAlign w:val="center"/>
          </w:tcPr>
          <w:p w14:paraId="56508B7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716" w:type="dxa"/>
            <w:tcBorders>
              <w:top w:val="nil"/>
              <w:left w:val="nil"/>
              <w:bottom w:val="single" w:color="auto" w:sz="4" w:space="0"/>
              <w:right w:val="single" w:color="auto" w:sz="4" w:space="0"/>
            </w:tcBorders>
            <w:noWrap w:val="0"/>
            <w:vAlign w:val="center"/>
          </w:tcPr>
          <w:p w14:paraId="5F7F816E">
            <w:pPr>
              <w:widowControl/>
              <w:spacing w:line="240" w:lineRule="exact"/>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0"/>
            <w:vAlign w:val="center"/>
          </w:tcPr>
          <w:p w14:paraId="2A7E308F">
            <w:pPr>
              <w:widowControl/>
              <w:spacing w:line="240" w:lineRule="exact"/>
              <w:jc w:val="lef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97</w:t>
            </w:r>
          </w:p>
        </w:tc>
        <w:tc>
          <w:tcPr>
            <w:tcW w:w="1446" w:type="dxa"/>
            <w:tcBorders>
              <w:top w:val="nil"/>
              <w:left w:val="nil"/>
              <w:bottom w:val="single" w:color="auto" w:sz="4" w:space="0"/>
              <w:right w:val="single" w:color="auto" w:sz="4" w:space="0"/>
            </w:tcBorders>
            <w:noWrap w:val="0"/>
            <w:vAlign w:val="center"/>
          </w:tcPr>
          <w:p w14:paraId="7106865F">
            <w:pPr>
              <w:widowControl/>
              <w:spacing w:line="240" w:lineRule="exact"/>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14:paraId="3B4C0BB1">
      <w:pPr>
        <w:keepNext w:val="0"/>
        <w:keepLines w:val="0"/>
        <w:pageBreakBefore w:val="0"/>
        <w:widowControl w:val="0"/>
        <w:numPr>
          <w:ilvl w:val="0"/>
          <w:numId w:val="0"/>
        </w:numPr>
        <w:kinsoku/>
        <w:wordWrap/>
        <w:overflowPunct/>
        <w:topLinePunct w:val="0"/>
        <w:autoSpaceDE/>
        <w:autoSpaceDN/>
        <w:bidi w:val="0"/>
        <w:adjustRightInd/>
        <w:snapToGrid/>
        <w:spacing w:beforeAutospacing="0" w:line="520" w:lineRule="atLeast"/>
        <w:ind w:firstLine="640" w:firstLineChars="200"/>
        <w:jc w:val="left"/>
        <w:textAlignment w:val="auto"/>
        <w:rPr>
          <w:rFonts w:hint="eastAsia" w:ascii="仿宋" w:hAnsi="仿宋" w:eastAsia="仿宋" w:cs="仿宋"/>
          <w:sz w:val="32"/>
          <w:szCs w:val="32"/>
          <w:lang w:val="en-US" w:eastAsia="zh-CN"/>
        </w:rPr>
      </w:pPr>
    </w:p>
    <w:p w14:paraId="1BFC81C4">
      <w:pPr>
        <w:widowControl/>
        <w:spacing w:line="60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4</w:t>
      </w:r>
      <w:r>
        <w:rPr>
          <w:rFonts w:hint="eastAsia" w:ascii="方正小标宋简体" w:hAnsi="方正小标宋简体" w:eastAsia="方正小标宋简体" w:cs="方正小标宋简体"/>
          <w:color w:val="000000"/>
          <w:sz w:val="36"/>
          <w:szCs w:val="36"/>
        </w:rPr>
        <w:t>年度项目支出绩效自评表</w:t>
      </w:r>
    </w:p>
    <w:tbl>
      <w:tblPr>
        <w:tblStyle w:val="7"/>
        <w:tblW w:w="9851" w:type="dxa"/>
        <w:jc w:val="center"/>
        <w:tblLayout w:type="fixed"/>
        <w:tblCellMar>
          <w:top w:w="0" w:type="dxa"/>
          <w:left w:w="108" w:type="dxa"/>
          <w:bottom w:w="0" w:type="dxa"/>
          <w:right w:w="108" w:type="dxa"/>
        </w:tblCellMar>
      </w:tblPr>
      <w:tblGrid>
        <w:gridCol w:w="1080"/>
        <w:gridCol w:w="1080"/>
        <w:gridCol w:w="1080"/>
        <w:gridCol w:w="1639"/>
        <w:gridCol w:w="1145"/>
        <w:gridCol w:w="968"/>
        <w:gridCol w:w="568"/>
        <w:gridCol w:w="873"/>
        <w:gridCol w:w="1418"/>
      </w:tblGrid>
      <w:tr w14:paraId="3C2CF040">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7E26757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14:paraId="3667EC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14:paraId="2A7C7DC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岳阳市农业农村事务中心</w:t>
            </w:r>
          </w:p>
        </w:tc>
      </w:tr>
      <w:tr w14:paraId="7115A50E">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5E1CE15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944" w:type="dxa"/>
            <w:gridSpan w:val="4"/>
            <w:tcBorders>
              <w:top w:val="single" w:color="auto" w:sz="4" w:space="0"/>
              <w:left w:val="nil"/>
              <w:bottom w:val="single" w:color="auto" w:sz="4" w:space="0"/>
              <w:right w:val="single" w:color="auto" w:sz="4" w:space="0"/>
            </w:tcBorders>
            <w:noWrap w:val="0"/>
            <w:vAlign w:val="center"/>
          </w:tcPr>
          <w:p w14:paraId="7C24B5A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岳阳市农业农村局</w:t>
            </w:r>
          </w:p>
        </w:tc>
        <w:tc>
          <w:tcPr>
            <w:tcW w:w="968" w:type="dxa"/>
            <w:tcBorders>
              <w:top w:val="single" w:color="auto" w:sz="4" w:space="0"/>
              <w:left w:val="nil"/>
              <w:bottom w:val="single" w:color="auto" w:sz="4" w:space="0"/>
              <w:right w:val="single" w:color="000000" w:sz="4" w:space="0"/>
            </w:tcBorders>
            <w:noWrap w:val="0"/>
            <w:vAlign w:val="center"/>
          </w:tcPr>
          <w:p w14:paraId="3606BC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2859" w:type="dxa"/>
            <w:gridSpan w:val="3"/>
            <w:tcBorders>
              <w:top w:val="single" w:color="auto" w:sz="4" w:space="0"/>
              <w:left w:val="nil"/>
              <w:bottom w:val="single" w:color="auto" w:sz="4" w:space="0"/>
              <w:right w:val="single" w:color="auto" w:sz="4" w:space="0"/>
            </w:tcBorders>
            <w:noWrap w:val="0"/>
            <w:vAlign w:val="center"/>
          </w:tcPr>
          <w:p w14:paraId="3E28AC6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岳阳市农业农村事务中心</w:t>
            </w:r>
          </w:p>
        </w:tc>
      </w:tr>
      <w:tr w14:paraId="794ECA0D">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364334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0"/>
            <w:vAlign w:val="center"/>
          </w:tcPr>
          <w:p w14:paraId="00BE84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639" w:type="dxa"/>
            <w:tcBorders>
              <w:top w:val="nil"/>
              <w:left w:val="nil"/>
              <w:bottom w:val="single" w:color="auto" w:sz="4" w:space="0"/>
              <w:right w:val="single" w:color="auto" w:sz="4" w:space="0"/>
            </w:tcBorders>
            <w:noWrap w:val="0"/>
            <w:vAlign w:val="center"/>
          </w:tcPr>
          <w:p w14:paraId="7D9A1D4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14:paraId="719CE29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45" w:type="dxa"/>
            <w:tcBorders>
              <w:top w:val="nil"/>
              <w:left w:val="nil"/>
              <w:bottom w:val="single" w:color="auto" w:sz="4" w:space="0"/>
              <w:right w:val="single" w:color="auto" w:sz="4" w:space="0"/>
            </w:tcBorders>
            <w:noWrap w:val="0"/>
            <w:vAlign w:val="center"/>
          </w:tcPr>
          <w:p w14:paraId="73B809B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14:paraId="322AB3F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968" w:type="dxa"/>
            <w:tcBorders>
              <w:top w:val="nil"/>
              <w:left w:val="nil"/>
              <w:bottom w:val="single" w:color="auto" w:sz="4" w:space="0"/>
              <w:right w:val="single" w:color="auto" w:sz="4" w:space="0"/>
            </w:tcBorders>
            <w:noWrap w:val="0"/>
            <w:vAlign w:val="center"/>
          </w:tcPr>
          <w:p w14:paraId="34AD2CA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w:t>
            </w:r>
          </w:p>
          <w:p w14:paraId="1EF2AD03">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568" w:type="dxa"/>
            <w:tcBorders>
              <w:top w:val="nil"/>
              <w:left w:val="nil"/>
              <w:bottom w:val="single" w:color="auto" w:sz="4" w:space="0"/>
              <w:right w:val="single" w:color="auto" w:sz="4" w:space="0"/>
            </w:tcBorders>
            <w:noWrap w:val="0"/>
            <w:vAlign w:val="center"/>
          </w:tcPr>
          <w:p w14:paraId="10CD9B7D">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873" w:type="dxa"/>
            <w:tcBorders>
              <w:top w:val="nil"/>
              <w:left w:val="nil"/>
              <w:bottom w:val="single" w:color="auto" w:sz="4" w:space="0"/>
              <w:right w:val="single" w:color="auto" w:sz="4" w:space="0"/>
            </w:tcBorders>
            <w:noWrap w:val="0"/>
            <w:vAlign w:val="center"/>
          </w:tcPr>
          <w:p w14:paraId="77AB618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418" w:type="dxa"/>
            <w:tcBorders>
              <w:top w:val="nil"/>
              <w:left w:val="nil"/>
              <w:bottom w:val="single" w:color="auto" w:sz="4" w:space="0"/>
              <w:right w:val="single" w:color="auto" w:sz="4" w:space="0"/>
            </w:tcBorders>
            <w:noWrap w:val="0"/>
            <w:vAlign w:val="center"/>
          </w:tcPr>
          <w:p w14:paraId="316CD232">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14:paraId="1FD38C1F">
        <w:tblPrEx>
          <w:tblCellMar>
            <w:top w:w="0" w:type="dxa"/>
            <w:left w:w="108" w:type="dxa"/>
            <w:bottom w:w="0" w:type="dxa"/>
            <w:right w:w="108" w:type="dxa"/>
          </w:tblCellMar>
        </w:tblPrEx>
        <w:trPr>
          <w:trHeight w:val="246"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6CF7D1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14:paraId="084CBA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w:t>
            </w:r>
          </w:p>
        </w:tc>
        <w:tc>
          <w:tcPr>
            <w:tcW w:w="1639" w:type="dxa"/>
            <w:tcBorders>
              <w:top w:val="nil"/>
              <w:left w:val="nil"/>
              <w:bottom w:val="single" w:color="auto" w:sz="4" w:space="0"/>
              <w:right w:val="single" w:color="auto" w:sz="4" w:space="0"/>
            </w:tcBorders>
            <w:noWrap w:val="0"/>
            <w:vAlign w:val="center"/>
          </w:tcPr>
          <w:p w14:paraId="64EF61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15</w:t>
            </w:r>
          </w:p>
        </w:tc>
        <w:tc>
          <w:tcPr>
            <w:tcW w:w="1145" w:type="dxa"/>
            <w:tcBorders>
              <w:top w:val="nil"/>
              <w:left w:val="nil"/>
              <w:bottom w:val="single" w:color="auto" w:sz="4" w:space="0"/>
              <w:right w:val="single" w:color="auto" w:sz="4" w:space="0"/>
            </w:tcBorders>
            <w:noWrap w:val="0"/>
            <w:vAlign w:val="center"/>
          </w:tcPr>
          <w:p w14:paraId="121B53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15</w:t>
            </w:r>
          </w:p>
        </w:tc>
        <w:tc>
          <w:tcPr>
            <w:tcW w:w="968" w:type="dxa"/>
            <w:tcBorders>
              <w:top w:val="nil"/>
              <w:left w:val="nil"/>
              <w:bottom w:val="single" w:color="auto" w:sz="4" w:space="0"/>
              <w:right w:val="single" w:color="auto" w:sz="4" w:space="0"/>
            </w:tcBorders>
            <w:noWrap w:val="0"/>
            <w:vAlign w:val="center"/>
          </w:tcPr>
          <w:p w14:paraId="5EE6FC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15</w:t>
            </w:r>
          </w:p>
        </w:tc>
        <w:tc>
          <w:tcPr>
            <w:tcW w:w="568" w:type="dxa"/>
            <w:tcBorders>
              <w:top w:val="nil"/>
              <w:left w:val="nil"/>
              <w:bottom w:val="single" w:color="auto" w:sz="4" w:space="0"/>
              <w:right w:val="single" w:color="auto" w:sz="4" w:space="0"/>
            </w:tcBorders>
            <w:noWrap w:val="0"/>
            <w:vAlign w:val="center"/>
          </w:tcPr>
          <w:p w14:paraId="197E3FC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w:t>
            </w:r>
          </w:p>
        </w:tc>
        <w:tc>
          <w:tcPr>
            <w:tcW w:w="873" w:type="dxa"/>
            <w:tcBorders>
              <w:top w:val="nil"/>
              <w:left w:val="nil"/>
              <w:bottom w:val="single" w:color="auto" w:sz="4" w:space="0"/>
              <w:right w:val="single" w:color="auto" w:sz="4" w:space="0"/>
            </w:tcBorders>
            <w:noWrap w:val="0"/>
            <w:vAlign w:val="center"/>
          </w:tcPr>
          <w:p w14:paraId="37EE37F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1418" w:type="dxa"/>
            <w:tcBorders>
              <w:top w:val="nil"/>
              <w:left w:val="nil"/>
              <w:bottom w:val="single" w:color="auto" w:sz="4" w:space="0"/>
              <w:right w:val="single" w:color="auto" w:sz="4" w:space="0"/>
            </w:tcBorders>
            <w:noWrap w:val="0"/>
            <w:vAlign w:val="center"/>
          </w:tcPr>
          <w:p w14:paraId="016096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4D79177D">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78CEB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14:paraId="5E9956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w:t>
            </w:r>
          </w:p>
        </w:tc>
        <w:tc>
          <w:tcPr>
            <w:tcW w:w="1639" w:type="dxa"/>
            <w:tcBorders>
              <w:top w:val="nil"/>
              <w:left w:val="nil"/>
              <w:bottom w:val="single" w:color="auto" w:sz="4" w:space="0"/>
              <w:right w:val="single" w:color="auto" w:sz="4" w:space="0"/>
            </w:tcBorders>
            <w:noWrap w:val="0"/>
            <w:vAlign w:val="center"/>
          </w:tcPr>
          <w:p w14:paraId="2FB8C8B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15</w:t>
            </w:r>
          </w:p>
        </w:tc>
        <w:tc>
          <w:tcPr>
            <w:tcW w:w="1145" w:type="dxa"/>
            <w:tcBorders>
              <w:top w:val="nil"/>
              <w:left w:val="nil"/>
              <w:bottom w:val="single" w:color="auto" w:sz="4" w:space="0"/>
              <w:right w:val="single" w:color="auto" w:sz="4" w:space="0"/>
            </w:tcBorders>
            <w:noWrap w:val="0"/>
            <w:vAlign w:val="center"/>
          </w:tcPr>
          <w:p w14:paraId="2E1BAC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15</w:t>
            </w:r>
          </w:p>
        </w:tc>
        <w:tc>
          <w:tcPr>
            <w:tcW w:w="968" w:type="dxa"/>
            <w:tcBorders>
              <w:top w:val="nil"/>
              <w:left w:val="nil"/>
              <w:bottom w:val="single" w:color="auto" w:sz="4" w:space="0"/>
              <w:right w:val="single" w:color="auto" w:sz="4" w:space="0"/>
            </w:tcBorders>
            <w:noWrap w:val="0"/>
            <w:vAlign w:val="center"/>
          </w:tcPr>
          <w:p w14:paraId="5740AF1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15</w:t>
            </w:r>
          </w:p>
        </w:tc>
        <w:tc>
          <w:tcPr>
            <w:tcW w:w="568" w:type="dxa"/>
            <w:tcBorders>
              <w:top w:val="nil"/>
              <w:left w:val="nil"/>
              <w:bottom w:val="single" w:color="auto" w:sz="4" w:space="0"/>
              <w:right w:val="single" w:color="auto" w:sz="4" w:space="0"/>
            </w:tcBorders>
            <w:noWrap w:val="0"/>
            <w:vAlign w:val="center"/>
          </w:tcPr>
          <w:p w14:paraId="73CE006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0"/>
            <w:vAlign w:val="center"/>
          </w:tcPr>
          <w:p w14:paraId="354DC8D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0"/>
            <w:vAlign w:val="center"/>
          </w:tcPr>
          <w:p w14:paraId="2C57767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4D9DEA8F">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31CFDA5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14:paraId="520AD404">
            <w:pPr>
              <w:keepNext w:val="0"/>
              <w:keepLines w:val="0"/>
              <w:pageBreakBefore w:val="0"/>
              <w:widowControl/>
              <w:kinsoku/>
              <w:wordWrap/>
              <w:overflowPunct/>
              <w:topLinePunct w:val="0"/>
              <w:autoSpaceDE/>
              <w:autoSpaceDN/>
              <w:bidi w:val="0"/>
              <w:adjustRightInd/>
              <w:snapToGrid/>
              <w:spacing w:line="260" w:lineRule="exact"/>
              <w:ind w:firstLine="600" w:firstLineChars="30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w:t>
            </w:r>
          </w:p>
        </w:tc>
        <w:tc>
          <w:tcPr>
            <w:tcW w:w="1639" w:type="dxa"/>
            <w:tcBorders>
              <w:top w:val="nil"/>
              <w:left w:val="nil"/>
              <w:bottom w:val="single" w:color="auto" w:sz="4" w:space="0"/>
              <w:right w:val="single" w:color="auto" w:sz="4" w:space="0"/>
            </w:tcBorders>
            <w:noWrap w:val="0"/>
            <w:vAlign w:val="center"/>
          </w:tcPr>
          <w:p w14:paraId="7992646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145" w:type="dxa"/>
            <w:tcBorders>
              <w:top w:val="nil"/>
              <w:left w:val="nil"/>
              <w:bottom w:val="single" w:color="auto" w:sz="4" w:space="0"/>
              <w:right w:val="single" w:color="auto" w:sz="4" w:space="0"/>
            </w:tcBorders>
            <w:noWrap w:val="0"/>
            <w:vAlign w:val="center"/>
          </w:tcPr>
          <w:p w14:paraId="153F7E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968" w:type="dxa"/>
            <w:tcBorders>
              <w:top w:val="nil"/>
              <w:left w:val="nil"/>
              <w:bottom w:val="single" w:color="auto" w:sz="4" w:space="0"/>
              <w:right w:val="single" w:color="auto" w:sz="4" w:space="0"/>
            </w:tcBorders>
            <w:noWrap w:val="0"/>
            <w:vAlign w:val="center"/>
          </w:tcPr>
          <w:p w14:paraId="277F6C6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568" w:type="dxa"/>
            <w:tcBorders>
              <w:top w:val="nil"/>
              <w:left w:val="nil"/>
              <w:bottom w:val="single" w:color="auto" w:sz="4" w:space="0"/>
              <w:right w:val="single" w:color="auto" w:sz="4" w:space="0"/>
            </w:tcBorders>
            <w:noWrap w:val="0"/>
            <w:vAlign w:val="center"/>
          </w:tcPr>
          <w:p w14:paraId="3F7144F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0"/>
            <w:vAlign w:val="center"/>
          </w:tcPr>
          <w:p w14:paraId="4AD25CB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0"/>
            <w:vAlign w:val="center"/>
          </w:tcPr>
          <w:p w14:paraId="77955C9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2112F2C1">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46318C8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14:paraId="58989BC5">
            <w:pPr>
              <w:keepNext w:val="0"/>
              <w:keepLines w:val="0"/>
              <w:pageBreakBefore w:val="0"/>
              <w:widowControl/>
              <w:kinsoku/>
              <w:wordWrap/>
              <w:overflowPunct/>
              <w:topLinePunct w:val="0"/>
              <w:autoSpaceDE/>
              <w:autoSpaceDN/>
              <w:bidi w:val="0"/>
              <w:adjustRightInd/>
              <w:snapToGrid/>
              <w:spacing w:line="260" w:lineRule="exact"/>
              <w:ind w:firstLine="600" w:firstLineChars="300"/>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639" w:type="dxa"/>
            <w:tcBorders>
              <w:top w:val="nil"/>
              <w:left w:val="nil"/>
              <w:bottom w:val="single" w:color="auto" w:sz="4" w:space="0"/>
              <w:right w:val="single" w:color="auto" w:sz="4" w:space="0"/>
            </w:tcBorders>
            <w:noWrap w:val="0"/>
            <w:vAlign w:val="center"/>
          </w:tcPr>
          <w:p w14:paraId="5464018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145" w:type="dxa"/>
            <w:tcBorders>
              <w:top w:val="nil"/>
              <w:left w:val="nil"/>
              <w:bottom w:val="single" w:color="auto" w:sz="4" w:space="0"/>
              <w:right w:val="single" w:color="auto" w:sz="4" w:space="0"/>
            </w:tcBorders>
            <w:noWrap w:val="0"/>
            <w:vAlign w:val="center"/>
          </w:tcPr>
          <w:p w14:paraId="3EF2BF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968" w:type="dxa"/>
            <w:tcBorders>
              <w:top w:val="nil"/>
              <w:left w:val="nil"/>
              <w:bottom w:val="single" w:color="auto" w:sz="4" w:space="0"/>
              <w:right w:val="single" w:color="auto" w:sz="4" w:space="0"/>
            </w:tcBorders>
            <w:noWrap w:val="0"/>
            <w:vAlign w:val="center"/>
          </w:tcPr>
          <w:p w14:paraId="512665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568" w:type="dxa"/>
            <w:tcBorders>
              <w:top w:val="nil"/>
              <w:left w:val="nil"/>
              <w:bottom w:val="single" w:color="auto" w:sz="4" w:space="0"/>
              <w:right w:val="single" w:color="auto" w:sz="4" w:space="0"/>
            </w:tcBorders>
            <w:noWrap w:val="0"/>
            <w:vAlign w:val="center"/>
          </w:tcPr>
          <w:p w14:paraId="5E26A01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73" w:type="dxa"/>
            <w:tcBorders>
              <w:top w:val="nil"/>
              <w:left w:val="nil"/>
              <w:bottom w:val="single" w:color="auto" w:sz="4" w:space="0"/>
              <w:right w:val="single" w:color="auto" w:sz="4" w:space="0"/>
            </w:tcBorders>
            <w:noWrap w:val="0"/>
            <w:vAlign w:val="center"/>
          </w:tcPr>
          <w:p w14:paraId="4C80A17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418" w:type="dxa"/>
            <w:tcBorders>
              <w:top w:val="nil"/>
              <w:left w:val="nil"/>
              <w:bottom w:val="single" w:color="auto" w:sz="4" w:space="0"/>
              <w:right w:val="single" w:color="auto" w:sz="4" w:space="0"/>
            </w:tcBorders>
            <w:noWrap w:val="0"/>
            <w:vAlign w:val="center"/>
          </w:tcPr>
          <w:p w14:paraId="2C5DEF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7AC1D8FC">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6820082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944" w:type="dxa"/>
            <w:gridSpan w:val="4"/>
            <w:tcBorders>
              <w:top w:val="single" w:color="auto" w:sz="4" w:space="0"/>
              <w:left w:val="nil"/>
              <w:bottom w:val="single" w:color="auto" w:sz="4" w:space="0"/>
              <w:right w:val="single" w:color="000000" w:sz="4" w:space="0"/>
            </w:tcBorders>
            <w:noWrap w:val="0"/>
            <w:vAlign w:val="center"/>
          </w:tcPr>
          <w:p w14:paraId="7A1452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3827" w:type="dxa"/>
            <w:gridSpan w:val="4"/>
            <w:tcBorders>
              <w:top w:val="single" w:color="auto" w:sz="4" w:space="0"/>
              <w:left w:val="nil"/>
              <w:bottom w:val="single" w:color="auto" w:sz="4" w:space="0"/>
              <w:right w:val="single" w:color="auto" w:sz="4" w:space="0"/>
            </w:tcBorders>
            <w:noWrap w:val="0"/>
            <w:vAlign w:val="center"/>
          </w:tcPr>
          <w:p w14:paraId="663CEB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w:t>
            </w:r>
          </w:p>
        </w:tc>
      </w:tr>
      <w:tr w14:paraId="339601E2">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2322A2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4944" w:type="dxa"/>
            <w:gridSpan w:val="4"/>
            <w:tcBorders>
              <w:top w:val="single" w:color="auto" w:sz="4" w:space="0"/>
              <w:left w:val="nil"/>
              <w:bottom w:val="single" w:color="auto" w:sz="4" w:space="0"/>
              <w:right w:val="single" w:color="000000" w:sz="4" w:space="0"/>
            </w:tcBorders>
            <w:noWrap w:val="0"/>
            <w:vAlign w:val="center"/>
          </w:tcPr>
          <w:p w14:paraId="2D274023">
            <w:pPr>
              <w:widowControl/>
              <w:numPr>
                <w:ilvl w:val="0"/>
                <w:numId w:val="0"/>
              </w:numPr>
              <w:jc w:val="center"/>
              <w:rPr>
                <w:rFonts w:hint="eastAsia" w:eastAsia="仿宋_GB2312"/>
                <w:kern w:val="0"/>
                <w:sz w:val="24"/>
                <w:lang w:eastAsia="zh-CN"/>
              </w:rPr>
            </w:pPr>
            <w:r>
              <w:rPr>
                <w:rFonts w:hint="eastAsia" w:eastAsia="仿宋_GB2312"/>
                <w:kern w:val="0"/>
                <w:sz w:val="24"/>
                <w:lang w:val="en-US" w:eastAsia="zh-CN"/>
              </w:rPr>
              <w:t>1.</w:t>
            </w:r>
            <w:r>
              <w:rPr>
                <w:rFonts w:hint="eastAsia" w:eastAsia="仿宋_GB2312"/>
                <w:kern w:val="0"/>
                <w:sz w:val="24"/>
              </w:rPr>
              <w:t>积极开展</w:t>
            </w:r>
            <w:r>
              <w:rPr>
                <w:rFonts w:hint="eastAsia" w:eastAsia="仿宋_GB2312"/>
                <w:kern w:val="0"/>
                <w:sz w:val="24"/>
                <w:lang w:eastAsia="zh-CN"/>
              </w:rPr>
              <w:t>农业</w:t>
            </w:r>
            <w:r>
              <w:rPr>
                <w:rFonts w:hint="eastAsia" w:eastAsia="仿宋_GB2312"/>
                <w:kern w:val="0"/>
                <w:sz w:val="24"/>
              </w:rPr>
              <w:t>技术示范推广</w:t>
            </w:r>
            <w:r>
              <w:rPr>
                <w:rFonts w:hint="eastAsia" w:eastAsia="仿宋_GB2312"/>
                <w:kern w:val="0"/>
                <w:sz w:val="24"/>
                <w:lang w:eastAsia="zh-CN"/>
              </w:rPr>
              <w:t>，建设农业实用技术示范基地</w:t>
            </w:r>
            <w:r>
              <w:rPr>
                <w:rFonts w:hint="eastAsia" w:eastAsia="仿宋_GB2312"/>
                <w:kern w:val="0"/>
                <w:sz w:val="24"/>
                <w:lang w:val="en-US" w:eastAsia="zh-CN"/>
              </w:rPr>
              <w:t>3个以上，</w:t>
            </w:r>
            <w:r>
              <w:rPr>
                <w:rFonts w:hint="eastAsia" w:eastAsia="仿宋_GB2312"/>
                <w:kern w:val="0"/>
                <w:sz w:val="24"/>
                <w:lang w:eastAsia="zh-CN"/>
              </w:rPr>
              <w:t>开展农业新型实用技术培训</w:t>
            </w:r>
            <w:r>
              <w:rPr>
                <w:rFonts w:hint="eastAsia" w:eastAsia="仿宋_GB2312"/>
                <w:kern w:val="0"/>
                <w:sz w:val="24"/>
                <w:lang w:val="en-US" w:eastAsia="zh-CN"/>
              </w:rPr>
              <w:t>100人次以上，</w:t>
            </w:r>
            <w:r>
              <w:rPr>
                <w:rFonts w:hint="eastAsia" w:eastAsia="仿宋_GB2312"/>
                <w:kern w:val="0"/>
                <w:sz w:val="24"/>
                <w:lang w:eastAsia="zh-CN"/>
              </w:rPr>
              <w:t>助力农业稳产增产、农民稳步增收；</w:t>
            </w:r>
          </w:p>
          <w:p w14:paraId="1C969235">
            <w:pPr>
              <w:widowControl/>
              <w:numPr>
                <w:ilvl w:val="0"/>
                <w:numId w:val="0"/>
              </w:numPr>
              <w:jc w:val="center"/>
              <w:rPr>
                <w:rFonts w:hint="eastAsia" w:eastAsia="仿宋_GB2312"/>
                <w:kern w:val="0"/>
                <w:sz w:val="24"/>
                <w:lang w:val="en-US" w:eastAsia="zh-CN"/>
              </w:rPr>
            </w:pPr>
            <w:r>
              <w:rPr>
                <w:rFonts w:hint="eastAsia" w:eastAsia="仿宋_GB2312"/>
                <w:kern w:val="0"/>
                <w:sz w:val="24"/>
                <w:lang w:val="en-US" w:eastAsia="zh-CN"/>
              </w:rPr>
              <w:t>2.推广示范特色优质高效种养技术2个以上，打造特色农产品品牌；</w:t>
            </w:r>
          </w:p>
          <w:p w14:paraId="53E57AF0">
            <w:pPr>
              <w:widowControl/>
              <w:numPr>
                <w:ilvl w:val="0"/>
                <w:numId w:val="0"/>
              </w:numPr>
              <w:jc w:val="center"/>
              <w:rPr>
                <w:rFonts w:hint="eastAsia" w:eastAsia="仿宋_GB2312"/>
                <w:kern w:val="0"/>
                <w:sz w:val="24"/>
                <w:lang w:val="en-US" w:eastAsia="zh-CN"/>
              </w:rPr>
            </w:pPr>
            <w:r>
              <w:rPr>
                <w:rFonts w:hint="eastAsia" w:eastAsia="仿宋_GB2312"/>
                <w:kern w:val="0"/>
                <w:sz w:val="24"/>
                <w:lang w:val="en-US" w:eastAsia="zh-CN"/>
              </w:rPr>
              <w:t>3.推广绿色循环种养模式，推进化肥农药减量，促进农业生产可持续发展；</w:t>
            </w:r>
          </w:p>
          <w:p w14:paraId="31E3FCE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val="en-US" w:eastAsia="zh-CN"/>
              </w:rPr>
              <w:t>4.</w:t>
            </w:r>
            <w:r>
              <w:rPr>
                <w:rFonts w:hint="eastAsia" w:eastAsia="仿宋_GB2312"/>
                <w:kern w:val="0"/>
                <w:sz w:val="24"/>
              </w:rPr>
              <w:t>社会公众和农户对农业</w:t>
            </w:r>
            <w:r>
              <w:rPr>
                <w:rFonts w:hint="eastAsia" w:eastAsia="仿宋_GB2312"/>
                <w:kern w:val="0"/>
                <w:sz w:val="24"/>
                <w:lang w:eastAsia="zh-CN"/>
              </w:rPr>
              <w:t>技术推广</w:t>
            </w:r>
            <w:r>
              <w:rPr>
                <w:rFonts w:hint="eastAsia" w:eastAsia="仿宋_GB2312"/>
                <w:kern w:val="0"/>
                <w:sz w:val="24"/>
              </w:rPr>
              <w:t>专项高度满意。</w:t>
            </w:r>
          </w:p>
        </w:tc>
        <w:tc>
          <w:tcPr>
            <w:tcW w:w="3827" w:type="dxa"/>
            <w:gridSpan w:val="4"/>
            <w:tcBorders>
              <w:top w:val="single" w:color="auto" w:sz="4" w:space="0"/>
              <w:left w:val="nil"/>
              <w:bottom w:val="single" w:color="auto" w:sz="4" w:space="0"/>
              <w:right w:val="single" w:color="auto" w:sz="4" w:space="0"/>
            </w:tcBorders>
            <w:noWrap w:val="0"/>
            <w:vAlign w:val="center"/>
          </w:tcPr>
          <w:p w14:paraId="10E616A4">
            <w:pPr>
              <w:widowControl/>
              <w:numPr>
                <w:ilvl w:val="0"/>
                <w:numId w:val="0"/>
              </w:numPr>
              <w:jc w:val="center"/>
              <w:rPr>
                <w:rFonts w:hint="eastAsia" w:eastAsia="仿宋_GB2312"/>
                <w:kern w:val="0"/>
                <w:sz w:val="24"/>
                <w:lang w:eastAsia="zh-CN"/>
              </w:rPr>
            </w:pPr>
            <w:r>
              <w:rPr>
                <w:rFonts w:hint="eastAsia" w:eastAsia="仿宋_GB2312"/>
                <w:kern w:val="0"/>
                <w:sz w:val="24"/>
                <w:lang w:val="en-US" w:eastAsia="zh-CN"/>
              </w:rPr>
              <w:t>1.</w:t>
            </w:r>
            <w:r>
              <w:rPr>
                <w:rFonts w:hint="eastAsia" w:eastAsia="仿宋_GB2312"/>
                <w:kern w:val="0"/>
                <w:sz w:val="24"/>
              </w:rPr>
              <w:t>积极开展</w:t>
            </w:r>
            <w:r>
              <w:rPr>
                <w:rFonts w:hint="eastAsia" w:eastAsia="仿宋_GB2312"/>
                <w:kern w:val="0"/>
                <w:sz w:val="24"/>
                <w:lang w:eastAsia="zh-CN"/>
              </w:rPr>
              <w:t>农业</w:t>
            </w:r>
            <w:r>
              <w:rPr>
                <w:rFonts w:hint="eastAsia" w:eastAsia="仿宋_GB2312"/>
                <w:kern w:val="0"/>
                <w:sz w:val="24"/>
              </w:rPr>
              <w:t>技术示范推广</w:t>
            </w:r>
            <w:r>
              <w:rPr>
                <w:rFonts w:hint="eastAsia" w:eastAsia="仿宋_GB2312"/>
                <w:kern w:val="0"/>
                <w:sz w:val="24"/>
                <w:lang w:eastAsia="zh-CN"/>
              </w:rPr>
              <w:t>，建设农业实用技术示范基地</w:t>
            </w:r>
            <w:r>
              <w:rPr>
                <w:rFonts w:hint="eastAsia" w:eastAsia="仿宋_GB2312"/>
                <w:kern w:val="0"/>
                <w:sz w:val="24"/>
                <w:lang w:val="en-US" w:eastAsia="zh-CN"/>
              </w:rPr>
              <w:t>3个以上，</w:t>
            </w:r>
            <w:r>
              <w:rPr>
                <w:rFonts w:hint="eastAsia" w:eastAsia="仿宋_GB2312"/>
                <w:kern w:val="0"/>
                <w:sz w:val="24"/>
                <w:lang w:eastAsia="zh-CN"/>
              </w:rPr>
              <w:t>开展农业新型实用技术培训</w:t>
            </w:r>
            <w:r>
              <w:rPr>
                <w:rFonts w:hint="eastAsia" w:eastAsia="仿宋_GB2312"/>
                <w:kern w:val="0"/>
                <w:sz w:val="24"/>
                <w:lang w:val="en-US" w:eastAsia="zh-CN"/>
              </w:rPr>
              <w:t>100人次以上，</w:t>
            </w:r>
            <w:r>
              <w:rPr>
                <w:rFonts w:hint="eastAsia" w:eastAsia="仿宋_GB2312"/>
                <w:kern w:val="0"/>
                <w:sz w:val="24"/>
                <w:lang w:eastAsia="zh-CN"/>
              </w:rPr>
              <w:t>助力农业稳产增产、农民稳步增收；</w:t>
            </w:r>
          </w:p>
          <w:p w14:paraId="415FD0AA">
            <w:pPr>
              <w:widowControl/>
              <w:numPr>
                <w:ilvl w:val="0"/>
                <w:numId w:val="0"/>
              </w:numPr>
              <w:jc w:val="center"/>
              <w:rPr>
                <w:rFonts w:hint="eastAsia" w:eastAsia="仿宋_GB2312"/>
                <w:kern w:val="0"/>
                <w:sz w:val="24"/>
                <w:lang w:val="en-US" w:eastAsia="zh-CN"/>
              </w:rPr>
            </w:pPr>
            <w:r>
              <w:rPr>
                <w:rFonts w:hint="eastAsia" w:eastAsia="仿宋_GB2312"/>
                <w:kern w:val="0"/>
                <w:sz w:val="24"/>
                <w:lang w:val="en-US" w:eastAsia="zh-CN"/>
              </w:rPr>
              <w:t>2.推广示范特色优质高效种养技术2个以上，打造特色农产品品牌；</w:t>
            </w:r>
          </w:p>
          <w:p w14:paraId="59AE800C">
            <w:pPr>
              <w:widowControl/>
              <w:numPr>
                <w:ilvl w:val="0"/>
                <w:numId w:val="0"/>
              </w:numPr>
              <w:jc w:val="center"/>
              <w:rPr>
                <w:rFonts w:hint="eastAsia" w:eastAsia="仿宋_GB2312"/>
                <w:kern w:val="0"/>
                <w:sz w:val="24"/>
                <w:lang w:val="en-US" w:eastAsia="zh-CN"/>
              </w:rPr>
            </w:pPr>
            <w:r>
              <w:rPr>
                <w:rFonts w:hint="eastAsia" w:eastAsia="仿宋_GB2312"/>
                <w:kern w:val="0"/>
                <w:sz w:val="24"/>
                <w:lang w:val="en-US" w:eastAsia="zh-CN"/>
              </w:rPr>
              <w:t>3.推广绿色循环种养模式，推进化肥农药减量，促进农业生产可持续发展；</w:t>
            </w:r>
          </w:p>
          <w:p w14:paraId="0D70F13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val="en-US" w:eastAsia="zh-CN"/>
              </w:rPr>
              <w:t>4.</w:t>
            </w:r>
            <w:r>
              <w:rPr>
                <w:rFonts w:hint="eastAsia" w:eastAsia="仿宋_GB2312"/>
                <w:kern w:val="0"/>
                <w:sz w:val="24"/>
              </w:rPr>
              <w:t>社会公众和农户对农业</w:t>
            </w:r>
            <w:r>
              <w:rPr>
                <w:rFonts w:hint="eastAsia" w:eastAsia="仿宋_GB2312"/>
                <w:kern w:val="0"/>
                <w:sz w:val="24"/>
                <w:lang w:eastAsia="zh-CN"/>
              </w:rPr>
              <w:t>技术推广</w:t>
            </w:r>
            <w:r>
              <w:rPr>
                <w:rFonts w:hint="eastAsia" w:eastAsia="仿宋_GB2312"/>
                <w:kern w:val="0"/>
                <w:sz w:val="24"/>
              </w:rPr>
              <w:t>专项高度满意。</w:t>
            </w:r>
          </w:p>
        </w:tc>
      </w:tr>
      <w:tr w14:paraId="53477245">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14:paraId="0F34A19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14:paraId="27945C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14:paraId="109C4AC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14:paraId="60F6D9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nil"/>
              <w:left w:val="nil"/>
              <w:bottom w:val="single" w:color="auto" w:sz="4" w:space="0"/>
              <w:right w:val="single" w:color="auto" w:sz="4" w:space="0"/>
            </w:tcBorders>
            <w:noWrap w:val="0"/>
            <w:vAlign w:val="center"/>
          </w:tcPr>
          <w:p w14:paraId="2EFAC50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nil"/>
              <w:left w:val="nil"/>
              <w:bottom w:val="single" w:color="auto" w:sz="4" w:space="0"/>
              <w:right w:val="single" w:color="auto" w:sz="4" w:space="0"/>
            </w:tcBorders>
            <w:noWrap w:val="0"/>
            <w:vAlign w:val="center"/>
          </w:tcPr>
          <w:p w14:paraId="3E81487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639" w:type="dxa"/>
            <w:tcBorders>
              <w:top w:val="nil"/>
              <w:left w:val="nil"/>
              <w:bottom w:val="single" w:color="auto" w:sz="4" w:space="0"/>
              <w:right w:val="single" w:color="auto" w:sz="4" w:space="0"/>
            </w:tcBorders>
            <w:noWrap w:val="0"/>
            <w:vAlign w:val="center"/>
          </w:tcPr>
          <w:p w14:paraId="1268EF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45" w:type="dxa"/>
            <w:tcBorders>
              <w:top w:val="nil"/>
              <w:left w:val="nil"/>
              <w:bottom w:val="single" w:color="auto" w:sz="4" w:space="0"/>
              <w:right w:val="single" w:color="auto" w:sz="4" w:space="0"/>
            </w:tcBorders>
            <w:noWrap w:val="0"/>
            <w:vAlign w:val="center"/>
          </w:tcPr>
          <w:p w14:paraId="3B60094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14:paraId="257823C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968" w:type="dxa"/>
            <w:tcBorders>
              <w:top w:val="nil"/>
              <w:left w:val="nil"/>
              <w:bottom w:val="single" w:color="auto" w:sz="4" w:space="0"/>
              <w:right w:val="single" w:color="auto" w:sz="4" w:space="0"/>
            </w:tcBorders>
            <w:noWrap w:val="0"/>
            <w:vAlign w:val="center"/>
          </w:tcPr>
          <w:p w14:paraId="282D532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14:paraId="65EDCB8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568" w:type="dxa"/>
            <w:tcBorders>
              <w:top w:val="nil"/>
              <w:left w:val="nil"/>
              <w:bottom w:val="single" w:color="auto" w:sz="4" w:space="0"/>
              <w:right w:val="single" w:color="auto" w:sz="4" w:space="0"/>
            </w:tcBorders>
            <w:noWrap w:val="0"/>
            <w:vAlign w:val="center"/>
          </w:tcPr>
          <w:p w14:paraId="28CBE27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873" w:type="dxa"/>
            <w:tcBorders>
              <w:top w:val="nil"/>
              <w:left w:val="nil"/>
              <w:bottom w:val="single" w:color="auto" w:sz="4" w:space="0"/>
              <w:right w:val="single" w:color="auto" w:sz="4" w:space="0"/>
            </w:tcBorders>
            <w:noWrap w:val="0"/>
            <w:vAlign w:val="center"/>
          </w:tcPr>
          <w:p w14:paraId="3D75A46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418" w:type="dxa"/>
            <w:tcBorders>
              <w:top w:val="nil"/>
              <w:left w:val="nil"/>
              <w:bottom w:val="single" w:color="auto" w:sz="4" w:space="0"/>
              <w:right w:val="single" w:color="auto" w:sz="4" w:space="0"/>
            </w:tcBorders>
            <w:noWrap w:val="0"/>
            <w:vAlign w:val="center"/>
          </w:tcPr>
          <w:p w14:paraId="57C3BF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14:paraId="28336D31">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10A6D2F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5EBF490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14:paraId="7A1A61B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p w14:paraId="45544BA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464A23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02995C8D">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eastAsia="zh-CN"/>
              </w:rPr>
              <w:t>建设农业技术示范基地</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691C0C45">
            <w:pPr>
              <w:widowControl/>
              <w:jc w:val="center"/>
              <w:rPr>
                <w:rFonts w:hint="eastAsia" w:ascii="仿宋" w:hAnsi="仿宋" w:eastAsia="宋体" w:cs="Times New Roman"/>
                <w:kern w:val="0"/>
                <w:sz w:val="24"/>
                <w:szCs w:val="24"/>
                <w:lang w:val="en-US" w:eastAsia="zh-CN" w:bidi="ar-SA"/>
              </w:rPr>
            </w:pPr>
            <w:r>
              <w:rPr>
                <w:rFonts w:hint="eastAsia" w:ascii="仿宋_GB2312" w:hAnsi="仿宋_GB2312" w:eastAsia="仿宋_GB2312" w:cs="仿宋_GB2312"/>
                <w:kern w:val="0"/>
                <w:sz w:val="24"/>
                <w:lang w:val="en-US" w:eastAsia="zh-CN"/>
              </w:rPr>
              <w:t>≥</w:t>
            </w:r>
            <w:r>
              <w:rPr>
                <w:rFonts w:hint="eastAsia" w:eastAsia="仿宋_GB2312"/>
                <w:kern w:val="0"/>
                <w:sz w:val="24"/>
                <w:lang w:val="en-US" w:eastAsia="zh-CN"/>
              </w:rPr>
              <w:t>3个</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2B0500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3</w:t>
            </w:r>
          </w:p>
        </w:tc>
        <w:tc>
          <w:tcPr>
            <w:tcW w:w="568" w:type="dxa"/>
            <w:vMerge w:val="restart"/>
            <w:tcBorders>
              <w:top w:val="single" w:color="auto" w:sz="4" w:space="0"/>
              <w:left w:val="single" w:color="auto" w:sz="4" w:space="0"/>
              <w:bottom w:val="single" w:color="auto" w:sz="4" w:space="0"/>
              <w:right w:val="single" w:color="auto" w:sz="4" w:space="0"/>
            </w:tcBorders>
            <w:noWrap w:val="0"/>
            <w:vAlign w:val="center"/>
          </w:tcPr>
          <w:p w14:paraId="7102D61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rPr>
            </w:pPr>
            <w:r>
              <w:rPr>
                <w:rFonts w:hint="eastAsia" w:ascii="仿宋_GB2312" w:hAnsi="仿宋_GB2312" w:eastAsia="仿宋_GB2312" w:cs="仿宋_GB2312"/>
                <w:color w:val="000000"/>
                <w:sz w:val="20"/>
                <w:szCs w:val="20"/>
                <w:lang w:val="en-US" w:eastAsia="zh-CN"/>
              </w:rPr>
              <w:t>20</w:t>
            </w:r>
          </w:p>
        </w:tc>
        <w:tc>
          <w:tcPr>
            <w:tcW w:w="873" w:type="dxa"/>
            <w:vMerge w:val="restart"/>
            <w:tcBorders>
              <w:top w:val="single" w:color="auto" w:sz="4" w:space="0"/>
              <w:left w:val="single" w:color="auto" w:sz="4" w:space="0"/>
              <w:bottom w:val="single" w:color="auto" w:sz="4" w:space="0"/>
              <w:right w:val="single" w:color="auto" w:sz="4" w:space="0"/>
            </w:tcBorders>
            <w:noWrap w:val="0"/>
            <w:vAlign w:val="center"/>
          </w:tcPr>
          <w:p w14:paraId="526DE5C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20</w:t>
            </w:r>
          </w:p>
        </w:tc>
        <w:tc>
          <w:tcPr>
            <w:tcW w:w="1418" w:type="dxa"/>
            <w:vMerge w:val="restart"/>
            <w:tcBorders>
              <w:top w:val="single" w:color="auto" w:sz="4" w:space="0"/>
              <w:left w:val="single" w:color="auto" w:sz="4" w:space="0"/>
              <w:bottom w:val="single" w:color="auto" w:sz="4" w:space="0"/>
              <w:right w:val="single" w:color="auto" w:sz="4" w:space="0"/>
            </w:tcBorders>
            <w:noWrap w:val="0"/>
            <w:vAlign w:val="center"/>
          </w:tcPr>
          <w:p w14:paraId="3A8B5F8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p w14:paraId="6B2DD31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p w14:paraId="48AFECB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71FF95F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D09EF4D">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81B9E0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7F5FAE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639" w:type="dxa"/>
            <w:tcBorders>
              <w:top w:val="single" w:color="auto" w:sz="4" w:space="0"/>
              <w:left w:val="single" w:color="auto" w:sz="4" w:space="0"/>
              <w:bottom w:val="single" w:color="auto" w:sz="4" w:space="0"/>
              <w:right w:val="single" w:color="auto" w:sz="4" w:space="0"/>
            </w:tcBorders>
            <w:noWrap w:val="0"/>
            <w:vAlign w:val="center"/>
          </w:tcPr>
          <w:p w14:paraId="5954DE6C">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val="en-US" w:eastAsia="zh-CN"/>
              </w:rPr>
              <w:t>特色优质高效种养技术</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782CA43E">
            <w:pPr>
              <w:widowControl/>
              <w:jc w:val="center"/>
              <w:rPr>
                <w:rFonts w:hint="eastAsia" w:ascii="宋体" w:hAnsi="宋体" w:eastAsia="宋体" w:cs="宋体"/>
                <w:kern w:val="0"/>
                <w:sz w:val="24"/>
                <w:szCs w:val="24"/>
                <w:lang w:val="en-US" w:eastAsia="zh-CN" w:bidi="ar-SA"/>
              </w:rPr>
            </w:pPr>
            <w:r>
              <w:rPr>
                <w:rFonts w:hint="eastAsia" w:ascii="仿宋_GB2312" w:hAnsi="仿宋_GB2312" w:eastAsia="仿宋_GB2312" w:cs="仿宋_GB2312"/>
                <w:kern w:val="0"/>
                <w:sz w:val="24"/>
                <w:lang w:val="en-US" w:eastAsia="zh-CN"/>
              </w:rPr>
              <w:t>≥</w:t>
            </w:r>
            <w:r>
              <w:rPr>
                <w:rFonts w:hint="eastAsia" w:ascii="宋体" w:hAnsi="宋体" w:eastAsia="宋体" w:cs="宋体"/>
                <w:kern w:val="0"/>
                <w:sz w:val="24"/>
                <w:lang w:val="en-US" w:eastAsia="zh-CN"/>
              </w:rPr>
              <w:t>2个</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4CF881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w:t>
            </w:r>
          </w:p>
        </w:tc>
        <w:tc>
          <w:tcPr>
            <w:tcW w:w="568" w:type="dxa"/>
            <w:vMerge w:val="continue"/>
            <w:tcBorders>
              <w:top w:val="single" w:color="auto" w:sz="4" w:space="0"/>
              <w:left w:val="single" w:color="auto" w:sz="4" w:space="0"/>
              <w:bottom w:val="single" w:color="auto" w:sz="4" w:space="0"/>
              <w:right w:val="single" w:color="auto" w:sz="4" w:space="0"/>
            </w:tcBorders>
            <w:noWrap w:val="0"/>
            <w:vAlign w:val="center"/>
          </w:tcPr>
          <w:p w14:paraId="5C55566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73" w:type="dxa"/>
            <w:vMerge w:val="continue"/>
            <w:tcBorders>
              <w:top w:val="single" w:color="auto" w:sz="4" w:space="0"/>
              <w:left w:val="single" w:color="auto" w:sz="4" w:space="0"/>
              <w:bottom w:val="single" w:color="auto" w:sz="4" w:space="0"/>
              <w:right w:val="single" w:color="auto" w:sz="4" w:space="0"/>
            </w:tcBorders>
            <w:noWrap w:val="0"/>
            <w:vAlign w:val="center"/>
          </w:tcPr>
          <w:p w14:paraId="6B4868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418" w:type="dxa"/>
            <w:vMerge w:val="continue"/>
            <w:tcBorders>
              <w:top w:val="single" w:color="auto" w:sz="4" w:space="0"/>
              <w:left w:val="single" w:color="auto" w:sz="4" w:space="0"/>
              <w:bottom w:val="single" w:color="auto" w:sz="4" w:space="0"/>
              <w:right w:val="single" w:color="auto" w:sz="4" w:space="0"/>
            </w:tcBorders>
            <w:noWrap w:val="0"/>
            <w:vAlign w:val="center"/>
          </w:tcPr>
          <w:p w14:paraId="30171B4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72B9577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0028B602">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29A43EC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34AEFC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639" w:type="dxa"/>
            <w:tcBorders>
              <w:top w:val="single" w:color="auto" w:sz="4" w:space="0"/>
              <w:left w:val="single" w:color="auto" w:sz="4" w:space="0"/>
              <w:bottom w:val="single" w:color="auto" w:sz="4" w:space="0"/>
              <w:right w:val="single" w:color="auto" w:sz="4" w:space="0"/>
            </w:tcBorders>
            <w:noWrap w:val="0"/>
            <w:vAlign w:val="center"/>
          </w:tcPr>
          <w:p w14:paraId="486E616F">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val="en-US" w:eastAsia="zh-CN"/>
              </w:rPr>
              <w:t>农业技术培训人数</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21A00CF5">
            <w:pPr>
              <w:widowControl/>
              <w:jc w:val="center"/>
              <w:rPr>
                <w:rFonts w:hint="eastAsia" w:ascii="仿宋" w:hAnsi="仿宋" w:eastAsia="宋体" w:cs="Times New Roman"/>
                <w:kern w:val="0"/>
                <w:sz w:val="24"/>
                <w:szCs w:val="24"/>
                <w:lang w:val="en-US" w:eastAsia="zh-CN" w:bidi="ar-SA"/>
              </w:rPr>
            </w:pPr>
            <w:r>
              <w:rPr>
                <w:rFonts w:hint="eastAsia" w:ascii="仿宋_GB2312" w:hAnsi="仿宋_GB2312" w:eastAsia="仿宋_GB2312" w:cs="仿宋_GB2312"/>
                <w:kern w:val="0"/>
                <w:sz w:val="24"/>
                <w:lang w:val="en-US" w:eastAsia="zh-CN"/>
              </w:rPr>
              <w:t>≥</w:t>
            </w:r>
            <w:r>
              <w:rPr>
                <w:rFonts w:hint="eastAsia" w:ascii="宋体" w:hAnsi="宋体" w:eastAsia="宋体" w:cs="宋体"/>
                <w:kern w:val="0"/>
                <w:sz w:val="24"/>
                <w:lang w:val="en-US" w:eastAsia="zh-CN"/>
              </w:rPr>
              <w:t>100人次</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2D5D02A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568" w:type="dxa"/>
            <w:vMerge w:val="continue"/>
            <w:tcBorders>
              <w:top w:val="single" w:color="auto" w:sz="4" w:space="0"/>
              <w:left w:val="single" w:color="auto" w:sz="4" w:space="0"/>
              <w:bottom w:val="single" w:color="auto" w:sz="4" w:space="0"/>
              <w:right w:val="single" w:color="auto" w:sz="4" w:space="0"/>
            </w:tcBorders>
            <w:noWrap w:val="0"/>
            <w:vAlign w:val="center"/>
          </w:tcPr>
          <w:p w14:paraId="02EB051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73" w:type="dxa"/>
            <w:vMerge w:val="continue"/>
            <w:tcBorders>
              <w:top w:val="single" w:color="auto" w:sz="4" w:space="0"/>
              <w:left w:val="single" w:color="auto" w:sz="4" w:space="0"/>
              <w:bottom w:val="single" w:color="auto" w:sz="4" w:space="0"/>
              <w:right w:val="single" w:color="auto" w:sz="4" w:space="0"/>
            </w:tcBorders>
            <w:noWrap w:val="0"/>
            <w:vAlign w:val="center"/>
          </w:tcPr>
          <w:p w14:paraId="46E839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418" w:type="dxa"/>
            <w:vMerge w:val="continue"/>
            <w:tcBorders>
              <w:top w:val="single" w:color="auto" w:sz="4" w:space="0"/>
              <w:left w:val="single" w:color="auto" w:sz="4" w:space="0"/>
              <w:bottom w:val="single" w:color="auto" w:sz="4" w:space="0"/>
              <w:right w:val="single" w:color="auto" w:sz="4" w:space="0"/>
            </w:tcBorders>
            <w:noWrap w:val="0"/>
            <w:vAlign w:val="center"/>
          </w:tcPr>
          <w:p w14:paraId="393BC1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5699D1A9">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535C18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7FE1C1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7DD2E0D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7E6FB7D2">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eastAsia="zh-CN"/>
              </w:rPr>
              <w:t>农产品品质</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1AB76F66">
            <w:pPr>
              <w:widowControl/>
              <w:jc w:val="center"/>
              <w:rPr>
                <w:rFonts w:hint="eastAsia" w:ascii="仿宋" w:hAnsi="仿宋" w:eastAsia="仿宋_GB2312" w:cs="Times New Roman"/>
                <w:kern w:val="0"/>
                <w:sz w:val="24"/>
                <w:szCs w:val="24"/>
                <w:lang w:val="en-US" w:eastAsia="zh-CN" w:bidi="ar-SA"/>
              </w:rPr>
            </w:pPr>
            <w:r>
              <w:rPr>
                <w:rFonts w:hint="eastAsia" w:eastAsia="仿宋_GB2312"/>
                <w:kern w:val="0"/>
                <w:sz w:val="24"/>
                <w:lang w:val="en-US" w:eastAsia="zh-CN"/>
              </w:rPr>
              <w:t>优质高产</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20CEFB4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高产</w:t>
            </w:r>
          </w:p>
        </w:tc>
        <w:tc>
          <w:tcPr>
            <w:tcW w:w="568" w:type="dxa"/>
            <w:vMerge w:val="restart"/>
            <w:tcBorders>
              <w:top w:val="single" w:color="auto" w:sz="4" w:space="0"/>
              <w:left w:val="single" w:color="auto" w:sz="4" w:space="0"/>
              <w:bottom w:val="single" w:color="auto" w:sz="4" w:space="0"/>
              <w:right w:val="single" w:color="auto" w:sz="4" w:space="0"/>
            </w:tcBorders>
            <w:noWrap w:val="0"/>
            <w:vAlign w:val="center"/>
          </w:tcPr>
          <w:p w14:paraId="2A7040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vMerge w:val="restart"/>
            <w:tcBorders>
              <w:top w:val="single" w:color="auto" w:sz="4" w:space="0"/>
              <w:left w:val="single" w:color="auto" w:sz="4" w:space="0"/>
              <w:bottom w:val="single" w:color="auto" w:sz="4" w:space="0"/>
              <w:right w:val="single" w:color="auto" w:sz="4" w:space="0"/>
            </w:tcBorders>
            <w:noWrap w:val="0"/>
            <w:vAlign w:val="center"/>
          </w:tcPr>
          <w:p w14:paraId="0CAD330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vMerge w:val="restart"/>
            <w:tcBorders>
              <w:top w:val="single" w:color="auto" w:sz="4" w:space="0"/>
              <w:left w:val="single" w:color="auto" w:sz="4" w:space="0"/>
              <w:bottom w:val="single" w:color="auto" w:sz="4" w:space="0"/>
              <w:right w:val="single" w:color="auto" w:sz="4" w:space="0"/>
            </w:tcBorders>
            <w:noWrap w:val="0"/>
            <w:vAlign w:val="center"/>
          </w:tcPr>
          <w:p w14:paraId="69FE9E0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72DA215A">
        <w:tblPrEx>
          <w:tblCellMar>
            <w:top w:w="0" w:type="dxa"/>
            <w:left w:w="108" w:type="dxa"/>
            <w:bottom w:w="0" w:type="dxa"/>
            <w:right w:w="108" w:type="dxa"/>
          </w:tblCellMar>
        </w:tblPrEx>
        <w:trPr>
          <w:trHeight w:val="90" w:hRule="atLeast"/>
          <w:jc w:val="center"/>
        </w:trPr>
        <w:tc>
          <w:tcPr>
            <w:tcW w:w="1080" w:type="dxa"/>
            <w:vMerge w:val="continue"/>
            <w:tcBorders>
              <w:left w:val="single" w:color="auto" w:sz="4" w:space="0"/>
              <w:right w:val="single" w:color="auto" w:sz="4" w:space="0"/>
            </w:tcBorders>
            <w:noWrap w:val="0"/>
            <w:vAlign w:val="center"/>
          </w:tcPr>
          <w:p w14:paraId="104095D8">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D231B9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06F8D06A">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639" w:type="dxa"/>
            <w:tcBorders>
              <w:top w:val="single" w:color="auto" w:sz="4" w:space="0"/>
              <w:left w:val="single" w:color="auto" w:sz="4" w:space="0"/>
              <w:bottom w:val="single" w:color="auto" w:sz="4" w:space="0"/>
              <w:right w:val="single" w:color="auto" w:sz="4" w:space="0"/>
            </w:tcBorders>
            <w:noWrap w:val="0"/>
            <w:vAlign w:val="center"/>
          </w:tcPr>
          <w:p w14:paraId="28B75E12">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eastAsia="zh-CN"/>
              </w:rPr>
              <w:t>主推技术到位率</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601F20A1">
            <w:pPr>
              <w:widowControl/>
              <w:jc w:val="center"/>
              <w:rPr>
                <w:rFonts w:hint="eastAsia" w:ascii="宋体" w:hAnsi="宋体" w:eastAsia="宋体" w:cs="宋体"/>
                <w:kern w:val="0"/>
                <w:sz w:val="24"/>
                <w:szCs w:val="24"/>
                <w:lang w:val="en-US" w:eastAsia="zh-CN" w:bidi="ar-SA"/>
              </w:rPr>
            </w:pPr>
            <w:r>
              <w:rPr>
                <w:rFonts w:hint="eastAsia" w:ascii="仿宋_GB2312" w:hAnsi="仿宋_GB2312" w:eastAsia="仿宋_GB2312" w:cs="仿宋_GB2312"/>
                <w:kern w:val="0"/>
                <w:sz w:val="24"/>
                <w:lang w:val="en-US" w:eastAsia="zh-CN"/>
              </w:rPr>
              <w:t>≥</w:t>
            </w:r>
            <w:r>
              <w:rPr>
                <w:rFonts w:hint="eastAsia" w:ascii="宋体" w:hAnsi="宋体" w:eastAsia="宋体" w:cs="宋体"/>
                <w:kern w:val="0"/>
                <w:sz w:val="24"/>
                <w:lang w:val="en-US" w:eastAsia="zh-CN"/>
              </w:rPr>
              <w:t>95%</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0699AED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95%</w:t>
            </w:r>
          </w:p>
        </w:tc>
        <w:tc>
          <w:tcPr>
            <w:tcW w:w="568" w:type="dxa"/>
            <w:vMerge w:val="continue"/>
            <w:tcBorders>
              <w:top w:val="single" w:color="auto" w:sz="4" w:space="0"/>
              <w:left w:val="single" w:color="auto" w:sz="4" w:space="0"/>
              <w:bottom w:val="single" w:color="auto" w:sz="4" w:space="0"/>
              <w:right w:val="single" w:color="auto" w:sz="4" w:space="0"/>
            </w:tcBorders>
            <w:noWrap w:val="0"/>
            <w:vAlign w:val="center"/>
          </w:tcPr>
          <w:p w14:paraId="64E0D9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873" w:type="dxa"/>
            <w:vMerge w:val="continue"/>
            <w:tcBorders>
              <w:top w:val="single" w:color="auto" w:sz="4" w:space="0"/>
              <w:left w:val="single" w:color="auto" w:sz="4" w:space="0"/>
              <w:bottom w:val="single" w:color="auto" w:sz="4" w:space="0"/>
              <w:right w:val="single" w:color="auto" w:sz="4" w:space="0"/>
            </w:tcBorders>
            <w:noWrap w:val="0"/>
            <w:vAlign w:val="center"/>
          </w:tcPr>
          <w:p w14:paraId="2F92B4B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418" w:type="dxa"/>
            <w:vMerge w:val="continue"/>
            <w:tcBorders>
              <w:top w:val="single" w:color="auto" w:sz="4" w:space="0"/>
              <w:left w:val="single" w:color="auto" w:sz="4" w:space="0"/>
              <w:bottom w:val="single" w:color="auto" w:sz="4" w:space="0"/>
              <w:right w:val="single" w:color="auto" w:sz="4" w:space="0"/>
            </w:tcBorders>
            <w:noWrap w:val="0"/>
            <w:vAlign w:val="center"/>
          </w:tcPr>
          <w:p w14:paraId="5A84BEB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0CF9910C">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3B3F73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F18D1DF">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BE0E7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63BFD83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年度项目开展执行率</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0A4584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宋体" w:hAnsi="宋体" w:eastAsia="宋体" w:cs="宋体"/>
                <w:kern w:val="0"/>
                <w:sz w:val="24"/>
                <w:lang w:val="en-US" w:eastAsia="zh-CN"/>
              </w:rPr>
              <w:t>10</w:t>
            </w:r>
            <w:r>
              <w:rPr>
                <w:rFonts w:hint="eastAsia" w:eastAsia="仿宋_GB2312"/>
                <w:kern w:val="0"/>
                <w:sz w:val="24"/>
                <w:lang w:val="en-US" w:eastAsia="zh-CN"/>
              </w:rPr>
              <w:t>0%</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69C47FE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02CFE99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1489D21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360D166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22245D6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4FDA547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6BFA93D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3C6F0AE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7CE8675D">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eastAsia="zh-CN"/>
              </w:rPr>
              <w:t>促进示范片生产成本下降</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5E7E07A7">
            <w:pPr>
              <w:widowControl/>
              <w:jc w:val="center"/>
              <w:rPr>
                <w:rFonts w:hint="eastAsia" w:ascii="仿宋" w:hAnsi="仿宋" w:eastAsia="仿宋_GB2312" w:cs="Times New Roman"/>
                <w:kern w:val="0"/>
                <w:sz w:val="24"/>
                <w:szCs w:val="24"/>
                <w:lang w:val="en-US" w:eastAsia="zh-CN" w:bidi="ar-SA"/>
              </w:rPr>
            </w:pPr>
            <w:r>
              <w:rPr>
                <w:rFonts w:hint="eastAsia" w:ascii="仿宋_GB2312" w:hAnsi="仿宋_GB2312" w:eastAsia="仿宋_GB2312" w:cs="仿宋_GB2312"/>
                <w:kern w:val="0"/>
                <w:sz w:val="24"/>
                <w:lang w:val="en-US" w:eastAsia="zh-CN"/>
              </w:rPr>
              <w:t>≥</w:t>
            </w:r>
            <w:r>
              <w:rPr>
                <w:rFonts w:hint="eastAsia" w:eastAsia="仿宋_GB2312"/>
                <w:kern w:val="0"/>
                <w:sz w:val="24"/>
                <w:lang w:val="en-US" w:eastAsia="zh-CN"/>
              </w:rPr>
              <w:t>5%</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3EC6FCE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2267BD6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B4BC7D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85AE9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3C302940">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3CE7051C">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54C143D4">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nil"/>
              <w:bottom w:val="single" w:color="auto" w:sz="4" w:space="0"/>
              <w:right w:val="single" w:color="auto" w:sz="4" w:space="0"/>
            </w:tcBorders>
            <w:noWrap w:val="0"/>
            <w:vAlign w:val="center"/>
          </w:tcPr>
          <w:p w14:paraId="26033816">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639" w:type="dxa"/>
            <w:tcBorders>
              <w:top w:val="single" w:color="auto" w:sz="4" w:space="0"/>
              <w:left w:val="nil"/>
              <w:bottom w:val="single" w:color="auto" w:sz="4" w:space="0"/>
              <w:right w:val="single" w:color="auto" w:sz="4" w:space="0"/>
            </w:tcBorders>
            <w:noWrap w:val="0"/>
            <w:vAlign w:val="center"/>
          </w:tcPr>
          <w:p w14:paraId="2CC16987">
            <w:pPr>
              <w:widowControl/>
              <w:spacing w:line="240" w:lineRule="exact"/>
              <w:jc w:val="center"/>
              <w:rPr>
                <w:rFonts w:hint="eastAsia" w:ascii="仿宋" w:hAnsi="仿宋" w:eastAsia="仿宋_GB2312" w:cs="Times New Roman"/>
                <w:kern w:val="0"/>
                <w:sz w:val="24"/>
                <w:szCs w:val="24"/>
                <w:lang w:val="en-US" w:eastAsia="zh-CN" w:bidi="ar-SA"/>
              </w:rPr>
            </w:pPr>
            <w:r>
              <w:rPr>
                <w:rFonts w:hint="eastAsia" w:eastAsia="仿宋_GB2312"/>
                <w:kern w:val="0"/>
                <w:sz w:val="24"/>
                <w:lang w:eastAsia="zh-CN"/>
              </w:rPr>
              <w:t>严格执行资金预算管理</w:t>
            </w:r>
          </w:p>
        </w:tc>
        <w:tc>
          <w:tcPr>
            <w:tcW w:w="1145" w:type="dxa"/>
            <w:tcBorders>
              <w:top w:val="single" w:color="auto" w:sz="4" w:space="0"/>
              <w:left w:val="nil"/>
              <w:bottom w:val="single" w:color="auto" w:sz="4" w:space="0"/>
              <w:right w:val="single" w:color="auto" w:sz="4" w:space="0"/>
            </w:tcBorders>
            <w:noWrap w:val="0"/>
            <w:vAlign w:val="center"/>
          </w:tcPr>
          <w:p w14:paraId="4350C409">
            <w:pPr>
              <w:widowControl/>
              <w:jc w:val="center"/>
              <w:rPr>
                <w:rFonts w:hint="eastAsia" w:ascii="仿宋" w:hAnsi="仿宋" w:eastAsia="仿宋_GB2312" w:cs="Times New Roman"/>
                <w:kern w:val="0"/>
                <w:sz w:val="24"/>
                <w:szCs w:val="24"/>
                <w:lang w:val="en-US" w:eastAsia="zh-CN" w:bidi="ar-SA"/>
              </w:rPr>
            </w:pPr>
            <w:r>
              <w:rPr>
                <w:rFonts w:hint="eastAsia" w:eastAsia="仿宋_GB2312"/>
                <w:kern w:val="0"/>
                <w:sz w:val="24"/>
                <w:lang w:val="en-US" w:eastAsia="zh-CN"/>
              </w:rPr>
              <w:t>100%</w:t>
            </w:r>
          </w:p>
        </w:tc>
        <w:tc>
          <w:tcPr>
            <w:tcW w:w="968" w:type="dxa"/>
            <w:tcBorders>
              <w:top w:val="single" w:color="auto" w:sz="4" w:space="0"/>
              <w:left w:val="nil"/>
              <w:bottom w:val="single" w:color="auto" w:sz="4" w:space="0"/>
              <w:right w:val="single" w:color="auto" w:sz="4" w:space="0"/>
            </w:tcBorders>
            <w:noWrap w:val="0"/>
            <w:vAlign w:val="center"/>
          </w:tcPr>
          <w:p w14:paraId="134DDC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100%</w:t>
            </w:r>
          </w:p>
        </w:tc>
        <w:tc>
          <w:tcPr>
            <w:tcW w:w="568" w:type="dxa"/>
            <w:tcBorders>
              <w:top w:val="single" w:color="auto" w:sz="4" w:space="0"/>
              <w:left w:val="nil"/>
              <w:bottom w:val="single" w:color="auto" w:sz="4" w:space="0"/>
              <w:right w:val="single" w:color="auto" w:sz="4" w:space="0"/>
            </w:tcBorders>
            <w:noWrap w:val="0"/>
            <w:vAlign w:val="center"/>
          </w:tcPr>
          <w:p w14:paraId="2A2BC3D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14:paraId="235C90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14:paraId="2A6A0A5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09D5C65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CB461D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14:paraId="266636C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14:paraId="3FE509E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p w14:paraId="000640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14:paraId="07DB3E7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6D7315E">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14:paraId="02AB2B9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6F3F9E1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示范片农户增收</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350B0C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kern w:val="0"/>
                <w:sz w:val="24"/>
                <w:lang w:val="en-US" w:eastAsia="zh-CN"/>
              </w:rPr>
              <w:t>≥</w:t>
            </w:r>
            <w:r>
              <w:rPr>
                <w:rFonts w:hint="eastAsia" w:eastAsia="仿宋_GB2312"/>
                <w:kern w:val="0"/>
                <w:sz w:val="24"/>
                <w:lang w:val="en-US" w:eastAsia="zh-CN"/>
              </w:rPr>
              <w:t>5%</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1F8570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2137C3D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25D005F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1892F64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6B1F8FFD">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713BC54B">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703FF347">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A78672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14:paraId="1362FA8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2533848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Times New Roman" w:hAnsi="Times New Roman" w:eastAsia="仿宋_GB2312" w:cs="Times New Roman"/>
                <w:kern w:val="0"/>
                <w:sz w:val="24"/>
                <w:lang w:val="en-US" w:eastAsia="zh-CN"/>
              </w:rPr>
              <w:t>农业科技水平和农民生产积极性</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54440D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增强</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45C000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增强</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7F7919A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00C9FA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2C1E9E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614DAAD3">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2A780DC5">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43D55989">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9D783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14:paraId="6BF2EF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4A9BB3B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农业生态环保意识</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7F42EBF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持续增强</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15BFCBC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增强</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15ACCC5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3EE15BB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26E2FA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18DE53FF">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5FE4E14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14:paraId="1DCDADD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61B195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731D0F4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减肥减药绿色生产方式</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04703A1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逐步推广普及</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3935D01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逐步推广</w:t>
            </w:r>
          </w:p>
        </w:tc>
        <w:tc>
          <w:tcPr>
            <w:tcW w:w="568" w:type="dxa"/>
            <w:tcBorders>
              <w:top w:val="single" w:color="auto" w:sz="4" w:space="0"/>
              <w:left w:val="single" w:color="auto" w:sz="4" w:space="0"/>
              <w:bottom w:val="single" w:color="auto" w:sz="4" w:space="0"/>
              <w:right w:val="single" w:color="auto" w:sz="4" w:space="0"/>
            </w:tcBorders>
            <w:noWrap w:val="0"/>
            <w:vAlign w:val="center"/>
          </w:tcPr>
          <w:p w14:paraId="26496E31">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14:paraId="44334C3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72951B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5EAAC298">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14:paraId="612EFCBD">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27645A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14:paraId="4EEE49E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14:paraId="1C904F6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AC7583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639" w:type="dxa"/>
            <w:tcBorders>
              <w:top w:val="single" w:color="auto" w:sz="4" w:space="0"/>
              <w:left w:val="single" w:color="auto" w:sz="4" w:space="0"/>
              <w:bottom w:val="single" w:color="auto" w:sz="4" w:space="0"/>
              <w:right w:val="single" w:color="auto" w:sz="4" w:space="0"/>
            </w:tcBorders>
            <w:noWrap w:val="0"/>
            <w:vAlign w:val="center"/>
          </w:tcPr>
          <w:p w14:paraId="26B5E42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eastAsia="仿宋_GB2312"/>
                <w:kern w:val="0"/>
                <w:sz w:val="24"/>
                <w:lang w:eastAsia="zh-CN"/>
              </w:rPr>
              <w:t>指导服务对象满意度</w:t>
            </w:r>
          </w:p>
        </w:tc>
        <w:tc>
          <w:tcPr>
            <w:tcW w:w="1145" w:type="dxa"/>
            <w:tcBorders>
              <w:top w:val="single" w:color="auto" w:sz="4" w:space="0"/>
              <w:left w:val="single" w:color="auto" w:sz="4" w:space="0"/>
              <w:bottom w:val="single" w:color="auto" w:sz="4" w:space="0"/>
              <w:right w:val="single" w:color="auto" w:sz="4" w:space="0"/>
            </w:tcBorders>
            <w:noWrap w:val="0"/>
            <w:vAlign w:val="center"/>
          </w:tcPr>
          <w:p w14:paraId="24466F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kern w:val="0"/>
                <w:sz w:val="24"/>
                <w:lang w:val="en-US" w:eastAsia="zh-CN"/>
              </w:rPr>
              <w:t>≥</w:t>
            </w:r>
            <w:r>
              <w:rPr>
                <w:rFonts w:hint="eastAsia" w:eastAsia="仿宋_GB2312"/>
                <w:kern w:val="0"/>
                <w:sz w:val="24"/>
                <w:lang w:val="en-US" w:eastAsia="zh-CN"/>
              </w:rPr>
              <w:t>90%</w:t>
            </w:r>
          </w:p>
        </w:tc>
        <w:tc>
          <w:tcPr>
            <w:tcW w:w="968" w:type="dxa"/>
            <w:tcBorders>
              <w:top w:val="single" w:color="auto" w:sz="4" w:space="0"/>
              <w:left w:val="single" w:color="auto" w:sz="4" w:space="0"/>
              <w:bottom w:val="single" w:color="auto" w:sz="4" w:space="0"/>
              <w:right w:val="single" w:color="auto" w:sz="4" w:space="0"/>
            </w:tcBorders>
            <w:noWrap w:val="0"/>
            <w:vAlign w:val="center"/>
          </w:tcPr>
          <w:p w14:paraId="5C17249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90%</w:t>
            </w:r>
          </w:p>
        </w:tc>
        <w:tc>
          <w:tcPr>
            <w:tcW w:w="568" w:type="dxa"/>
            <w:tcBorders>
              <w:top w:val="nil"/>
              <w:left w:val="nil"/>
              <w:bottom w:val="single" w:color="auto" w:sz="4" w:space="0"/>
              <w:right w:val="single" w:color="auto" w:sz="4" w:space="0"/>
            </w:tcBorders>
            <w:noWrap w:val="0"/>
            <w:vAlign w:val="center"/>
          </w:tcPr>
          <w:p w14:paraId="24A05B7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873" w:type="dxa"/>
            <w:tcBorders>
              <w:top w:val="nil"/>
              <w:left w:val="nil"/>
              <w:bottom w:val="single" w:color="auto" w:sz="4" w:space="0"/>
              <w:right w:val="single" w:color="auto" w:sz="4" w:space="0"/>
            </w:tcBorders>
            <w:noWrap w:val="0"/>
            <w:vAlign w:val="center"/>
          </w:tcPr>
          <w:p w14:paraId="53365A1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7</w:t>
            </w:r>
          </w:p>
        </w:tc>
        <w:tc>
          <w:tcPr>
            <w:tcW w:w="1418" w:type="dxa"/>
            <w:tcBorders>
              <w:top w:val="nil"/>
              <w:left w:val="nil"/>
              <w:bottom w:val="single" w:color="auto" w:sz="4" w:space="0"/>
              <w:right w:val="single" w:color="auto" w:sz="4" w:space="0"/>
            </w:tcBorders>
            <w:noWrap w:val="0"/>
            <w:vAlign w:val="center"/>
          </w:tcPr>
          <w:p w14:paraId="40C0E78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r w14:paraId="5C1D12CE">
        <w:tblPrEx>
          <w:tblCellMar>
            <w:top w:w="0" w:type="dxa"/>
            <w:left w:w="108" w:type="dxa"/>
            <w:bottom w:w="0" w:type="dxa"/>
            <w:right w:w="108" w:type="dxa"/>
          </w:tblCellMar>
        </w:tblPrEx>
        <w:trPr>
          <w:jc w:val="center"/>
        </w:trPr>
        <w:tc>
          <w:tcPr>
            <w:tcW w:w="6992" w:type="dxa"/>
            <w:gridSpan w:val="6"/>
            <w:tcBorders>
              <w:top w:val="single" w:color="auto" w:sz="4" w:space="0"/>
              <w:left w:val="single" w:color="auto" w:sz="4" w:space="0"/>
              <w:bottom w:val="single" w:color="auto" w:sz="4" w:space="0"/>
              <w:right w:val="single" w:color="000000" w:sz="4" w:space="0"/>
            </w:tcBorders>
            <w:noWrap w:val="0"/>
            <w:vAlign w:val="center"/>
          </w:tcPr>
          <w:p w14:paraId="42EBA13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568" w:type="dxa"/>
            <w:tcBorders>
              <w:top w:val="nil"/>
              <w:left w:val="nil"/>
              <w:bottom w:val="single" w:color="auto" w:sz="4" w:space="0"/>
              <w:right w:val="single" w:color="auto" w:sz="4" w:space="0"/>
            </w:tcBorders>
            <w:noWrap w:val="0"/>
            <w:vAlign w:val="center"/>
          </w:tcPr>
          <w:p w14:paraId="7AC6ED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873" w:type="dxa"/>
            <w:tcBorders>
              <w:top w:val="nil"/>
              <w:left w:val="nil"/>
              <w:bottom w:val="single" w:color="auto" w:sz="4" w:space="0"/>
              <w:right w:val="single" w:color="auto" w:sz="4" w:space="0"/>
            </w:tcBorders>
            <w:noWrap w:val="0"/>
            <w:vAlign w:val="center"/>
          </w:tcPr>
          <w:p w14:paraId="5D7C4BF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97</w:t>
            </w:r>
          </w:p>
        </w:tc>
        <w:tc>
          <w:tcPr>
            <w:tcW w:w="1418" w:type="dxa"/>
            <w:tcBorders>
              <w:top w:val="nil"/>
              <w:left w:val="nil"/>
              <w:bottom w:val="single" w:color="auto" w:sz="4" w:space="0"/>
              <w:right w:val="single" w:color="auto" w:sz="4" w:space="0"/>
            </w:tcBorders>
            <w:noWrap w:val="0"/>
            <w:vAlign w:val="center"/>
          </w:tcPr>
          <w:p w14:paraId="5B656A32">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r>
    </w:tbl>
    <w:p w14:paraId="488950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仓耳舒圆体 W03">
    <w:panose1 w:val="02020400000000000000"/>
    <w:charset w:val="80"/>
    <w:family w:val="auto"/>
    <w:pitch w:val="default"/>
    <w:sig w:usb0="80000023" w:usb1="08C10458" w:usb2="00000012"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87946"/>
    <w:rsid w:val="01F40F97"/>
    <w:rsid w:val="0A2A19F9"/>
    <w:rsid w:val="21507B40"/>
    <w:rsid w:val="2DAF3E40"/>
    <w:rsid w:val="2F4F7689"/>
    <w:rsid w:val="39F72DF7"/>
    <w:rsid w:val="3C432323"/>
    <w:rsid w:val="3CE05DC4"/>
    <w:rsid w:val="3F4F20C1"/>
    <w:rsid w:val="4CCC1EC1"/>
    <w:rsid w:val="57364B06"/>
    <w:rsid w:val="590A624B"/>
    <w:rsid w:val="62D82F16"/>
    <w:rsid w:val="6CAD71C1"/>
    <w:rsid w:val="71F17B50"/>
    <w:rsid w:val="790463BB"/>
    <w:rsid w:val="7CC42B17"/>
    <w:rsid w:val="7E8F4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Times New Roman" w:cs="Times New Roman"/>
      <w:kern w:val="2"/>
      <w:sz w:val="21"/>
      <w:szCs w:val="24"/>
    </w:rPr>
  </w:style>
  <w:style w:type="character" w:default="1" w:styleId="8">
    <w:name w:val="Default Paragraph Fon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 w:hAnsi="仿宋" w:eastAsia="仿宋" w:cs="仿宋"/>
      <w:sz w:val="28"/>
      <w:szCs w:val="28"/>
      <w:lang w:val="zh-CN" w:bidi="zh-CN"/>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footnote text"/>
    <w:basedOn w:val="1"/>
    <w:next w:val="4"/>
    <w:semiHidden/>
    <w:qFormat/>
    <w:uiPriority w:val="0"/>
    <w:pPr>
      <w:snapToGrid w:val="0"/>
      <w:jc w:val="left"/>
    </w:pPr>
    <w:rPr>
      <w:sz w:val="18"/>
      <w:szCs w:val="18"/>
    </w:rPr>
  </w:style>
  <w:style w:type="paragraph" w:styleId="6">
    <w:name w:val="Body Text First Indent"/>
    <w:basedOn w:val="2"/>
    <w:qFormat/>
    <w:uiPriority w:val="0"/>
    <w:pPr>
      <w:spacing w:line="500" w:lineRule="exact"/>
      <w:ind w:firstLine="420"/>
    </w:pPr>
    <w:rPr>
      <w:rFonts w:ascii="Calibri" w:hAnsi="Calibri" w:eastAsia="宋体" w:cs="Times New Roman"/>
      <w:szCs w:val="20"/>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10">
    <w:name w:val="NormalCharacter"/>
    <w:qFormat/>
    <w:uiPriority w:val="0"/>
  </w:style>
  <w:style w:type="paragraph" w:customStyle="1" w:styleId="11">
    <w:name w:val="TOC1"/>
    <w:basedOn w:val="1"/>
    <w:next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4</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2025-09-24T06:58:20Z</dcterms:created>
  <dc:creator>Administrator</dc:creator>
  <cp:lastModifiedBy>梁丽</cp:lastModifiedBy>
  <dcterms:modified xsi:type="dcterms:W3CDTF">2025-09-25T02:51:32Z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eyJoZGlkIjoiODZjZmQ1YzRmN2ZjNTFhNjhiZDJjMDI3YzgzMmRiZjMiLCJ1c2VySWQiOiIxNDgxMDAxMjQzIn0=</vt:lpwstr>
  </property>
  <property fmtid="{D5CDD505-2E9C-101B-9397-08002B2CF9AE}" pid="4" name="ICV">
    <vt:lpwstr>C1D9D51C113B4CACB712BE7E20133EA2_12</vt:lpwstr>
  </property>
</Properties>
</file>