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afterLines="0" w:line="500" w:lineRule="exact"/>
        <w:ind w:firstLine="320" w:firstLineChars="100"/>
        <w:jc w:val="left"/>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eastAsia="zh-CN"/>
        </w:rPr>
        <w:t>附件</w:t>
      </w:r>
      <w:r>
        <w:rPr>
          <w:rFonts w:hint="eastAsia" w:ascii="黑体" w:hAnsi="黑体" w:eastAsia="黑体" w:cs="黑体"/>
          <w:sz w:val="32"/>
          <w:szCs w:val="32"/>
          <w:highlight w:val="none"/>
          <w:lang w:val="en-US" w:eastAsia="zh-CN"/>
        </w:rPr>
        <w:t>1</w:t>
      </w:r>
    </w:p>
    <w:p>
      <w:pPr>
        <w:spacing w:after="120" w:afterLines="50" w:line="600" w:lineRule="exact"/>
        <w:jc w:val="center"/>
        <w:rPr>
          <w:rFonts w:hint="eastAsia" w:ascii="方正小标宋简体" w:hAnsi="方正小标宋简体" w:eastAsia="方正小标宋简体" w:cs="方正小标宋简体"/>
          <w:sz w:val="24"/>
          <w:highlight w:val="none"/>
        </w:rPr>
      </w:pPr>
      <w:r>
        <w:rPr>
          <w:rFonts w:hint="eastAsia" w:ascii="方正小标宋简体" w:hAnsi="方正小标宋简体" w:eastAsia="方正小标宋简体" w:cs="方正小标宋简体"/>
          <w:sz w:val="36"/>
          <w:szCs w:val="36"/>
          <w:highlight w:val="none"/>
        </w:rPr>
        <w:t>202</w:t>
      </w:r>
      <w:r>
        <w:rPr>
          <w:rFonts w:hint="eastAsia" w:ascii="方正小标宋简体" w:hAnsi="方正小标宋简体" w:eastAsia="方正小标宋简体" w:cs="方正小标宋简体"/>
          <w:sz w:val="36"/>
          <w:szCs w:val="36"/>
          <w:highlight w:val="none"/>
          <w:lang w:val="en-US" w:eastAsia="zh-CN"/>
        </w:rPr>
        <w:t>4</w:t>
      </w:r>
      <w:r>
        <w:rPr>
          <w:rFonts w:hint="eastAsia" w:ascii="方正小标宋简体" w:hAnsi="方正小标宋简体" w:eastAsia="方正小标宋简体" w:cs="方正小标宋简体"/>
          <w:sz w:val="36"/>
          <w:szCs w:val="36"/>
          <w:highlight w:val="none"/>
        </w:rPr>
        <w:t>年度部门整体支出绩效评价基础数据表</w:t>
      </w:r>
    </w:p>
    <w:tbl>
      <w:tblPr>
        <w:tblStyle w:val="8"/>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控制率</w:t>
            </w:r>
          </w:p>
        </w:tc>
      </w:tr>
      <w:tr>
        <w:tblPrEx>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38</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38</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3</w:t>
            </w:r>
            <w:r>
              <w:rPr>
                <w:rFonts w:hint="eastAsia" w:ascii="仿宋_GB2312" w:hAnsi="仿宋_GB2312" w:eastAsia="仿宋_GB2312" w:cs="仿宋_GB2312"/>
                <w:b/>
                <w:bCs/>
                <w:sz w:val="20"/>
                <w:szCs w:val="20"/>
                <w:highlight w:val="none"/>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年决算数</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三公经费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29.64</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12.02</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26.98</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11.31</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17.98</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9</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11.31</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2.66</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4</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0.71</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rPr>
            </w:pPr>
            <w:r>
              <w:rPr>
                <w:rFonts w:hint="eastAsia" w:ascii="仿宋_GB2312" w:hAnsi="仿宋_GB2312" w:eastAsia="仿宋_GB2312" w:cs="仿宋_GB2312"/>
                <w:sz w:val="20"/>
                <w:szCs w:val="20"/>
                <w:highlight w:val="none"/>
                <w:lang w:val="en-US" w:eastAsia="zh-CN"/>
              </w:rPr>
              <w:t>527.42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201.3</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492.68</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331.43</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3</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rPr>
            </w:pPr>
            <w:r>
              <w:rPr>
                <w:rFonts w:hint="eastAsia" w:ascii="仿宋_GB2312" w:hAnsi="仿宋_GB2312" w:eastAsia="仿宋_GB2312" w:cs="仿宋_GB2312"/>
                <w:sz w:val="20"/>
                <w:szCs w:val="20"/>
                <w:highlight w:val="none"/>
                <w:lang w:val="en-US" w:eastAsia="zh-CN"/>
              </w:rPr>
              <w:t>251.89</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w:t>
            </w:r>
            <w:r>
              <w:rPr>
                <w:rFonts w:hint="eastAsia" w:ascii="仿宋_GB2312" w:hAnsi="仿宋_GB2312" w:eastAsia="仿宋_GB2312" w:cs="仿宋_GB2312"/>
                <w:sz w:val="20"/>
                <w:szCs w:val="20"/>
                <w:highlight w:val="none"/>
                <w:lang w:eastAsia="zh-CN"/>
              </w:rPr>
              <w:t>市级</w:t>
            </w:r>
            <w:r>
              <w:rPr>
                <w:rFonts w:hint="eastAsia" w:ascii="仿宋_GB2312" w:hAnsi="仿宋_GB2312" w:eastAsia="仿宋_GB2312" w:cs="仿宋_GB2312"/>
                <w:sz w:val="20"/>
                <w:szCs w:val="20"/>
                <w:highlight w:val="none"/>
              </w:rPr>
              <w:t>专项资金（一个专项一行）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195.99</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198.3</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rPr>
            </w:pPr>
            <w:r>
              <w:rPr>
                <w:rFonts w:hint="eastAsia" w:ascii="仿宋_GB2312" w:hAnsi="仿宋_GB2312" w:eastAsia="仿宋_GB2312" w:cs="仿宋_GB2312"/>
                <w:sz w:val="20"/>
                <w:szCs w:val="20"/>
                <w:highlight w:val="none"/>
                <w:lang w:val="en-US" w:eastAsia="zh-CN"/>
              </w:rPr>
              <w:t>240.79</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水产品质量安全监管</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6.3</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6.3</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5.43</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中心城区屠宰市场监管和检疫经费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50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江豚保护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8.82</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农业行政执法与农民负担监管</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农业行政执法及禁捕退捕专项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179.69</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182</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166.54</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bookmarkStart w:id="0" w:name="_GoBack"/>
            <w:bookmarkEnd w:id="0"/>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FF0000"/>
                <w:sz w:val="20"/>
                <w:szCs w:val="20"/>
                <w:highlight w:val="none"/>
              </w:rPr>
              <w:t>52.36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FF0000"/>
                <w:sz w:val="20"/>
                <w:szCs w:val="20"/>
                <w:highlight w:val="none"/>
                <w:lang w:val="en-US" w:eastAsia="zh-CN"/>
              </w:rPr>
              <w:t>51.79</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FF0000"/>
                <w:sz w:val="20"/>
                <w:szCs w:val="20"/>
                <w:highlight w:val="none"/>
              </w:rPr>
              <w:t>37.96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FF0000"/>
                <w:sz w:val="20"/>
                <w:szCs w:val="20"/>
                <w:highlight w:val="none"/>
              </w:rPr>
              <w:t>1.64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FF0000"/>
                <w:sz w:val="20"/>
                <w:szCs w:val="20"/>
                <w:highlight w:val="none"/>
                <w:lang w:val="en-US" w:eastAsia="zh-CN"/>
              </w:rPr>
              <w:t>4</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FF0000"/>
                <w:sz w:val="20"/>
                <w:szCs w:val="20"/>
                <w:highlight w:val="none"/>
              </w:rPr>
              <w:t>6.9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FF0000"/>
                <w:sz w:val="20"/>
                <w:szCs w:val="20"/>
                <w:highlight w:val="none"/>
              </w:rPr>
              <w:t>1.81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lang w:val="en-US" w:eastAsia="zh-CN"/>
              </w:rPr>
            </w:pPr>
            <w:r>
              <w:rPr>
                <w:rFonts w:hint="eastAsia" w:ascii="仿宋_GB2312" w:hAnsi="仿宋_GB2312" w:eastAsia="仿宋_GB2312" w:cs="仿宋_GB2312"/>
                <w:color w:val="FF0000"/>
                <w:sz w:val="20"/>
                <w:szCs w:val="20"/>
                <w:highlight w:val="none"/>
                <w:lang w:val="en-US" w:eastAsia="zh-CN"/>
              </w:rPr>
              <w:t>2</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FF0000"/>
                <w:sz w:val="20"/>
                <w:szCs w:val="20"/>
                <w:highlight w:val="none"/>
              </w:rPr>
              <w:t>1.63　</w:t>
            </w:r>
          </w:p>
        </w:tc>
      </w:tr>
      <w:tr>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284.1</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278.5</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770.8</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883.71</w:t>
            </w:r>
          </w:p>
        </w:tc>
      </w:tr>
      <w:tr>
        <w:tblPrEx>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楼堂馆所控制情况</w:t>
            </w:r>
            <w:r>
              <w:rPr>
                <w:rFonts w:hint="eastAsia" w:ascii="仿宋_GB2312" w:hAnsi="仿宋_GB2312" w:eastAsia="仿宋_GB2312" w:cs="仿宋_GB2312"/>
                <w:sz w:val="20"/>
                <w:szCs w:val="20"/>
                <w:highlight w:val="none"/>
              </w:rPr>
              <w:br w:type="textWrapping"/>
            </w:r>
            <w:r>
              <w:rPr>
                <w:rFonts w:hint="eastAsia" w:ascii="仿宋_GB2312" w:hAnsi="仿宋_GB2312" w:eastAsia="仿宋_GB2312" w:cs="仿宋_GB2312"/>
                <w:sz w:val="20"/>
                <w:szCs w:val="20"/>
                <w:highlight w:val="none"/>
              </w:rPr>
              <w:t>（202</w:t>
            </w:r>
            <w:r>
              <w:rPr>
                <w:rFonts w:hint="eastAsia" w:ascii="仿宋_GB2312" w:hAnsi="仿宋_GB2312" w:eastAsia="仿宋_GB2312" w:cs="仿宋_GB2312"/>
                <w:sz w:val="20"/>
                <w:szCs w:val="20"/>
                <w:highlight w:val="none"/>
                <w:lang w:val="en-US" w:eastAsia="zh-CN"/>
              </w:rPr>
              <w:t>4</w:t>
            </w:r>
            <w:r>
              <w:rPr>
                <w:rFonts w:hint="eastAsia" w:ascii="仿宋_GB2312" w:hAnsi="仿宋_GB2312" w:eastAsia="仿宋_GB2312" w:cs="仿宋_GB2312"/>
                <w:sz w:val="20"/>
                <w:szCs w:val="20"/>
                <w:highlight w:val="none"/>
              </w:rPr>
              <w:t>年完工项目）</w:t>
            </w: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批复规模</w:t>
            </w:r>
            <w:r>
              <w:rPr>
                <w:rFonts w:hint="eastAsia" w:ascii="仿宋_GB2312" w:hAnsi="仿宋_GB2312" w:eastAsia="仿宋_GB2312" w:cs="仿宋_GB2312"/>
                <w:bCs/>
                <w:sz w:val="20"/>
                <w:szCs w:val="20"/>
                <w:highlight w:val="none"/>
              </w:rPr>
              <w:br w:type="textWrapping"/>
            </w:r>
            <w:r>
              <w:rPr>
                <w:rFonts w:hint="eastAsia" w:ascii="仿宋_GB2312" w:hAnsi="仿宋_GB2312" w:eastAsia="仿宋_GB2312" w:cs="仿宋_GB2312"/>
                <w:bCs/>
                <w:sz w:val="20"/>
                <w:szCs w:val="20"/>
                <w:highlight w:val="none"/>
              </w:rPr>
              <w:t>（㎡）</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实际规模（㎡）</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规模控制率</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预算投资（万元）</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实际投资（万元）</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投资概算控制率</w:t>
            </w:r>
          </w:p>
        </w:tc>
      </w:tr>
      <w:tr>
        <w:tblPrEx>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849"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960"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bl>
    <w:p>
      <w:pPr>
        <w:widowControl/>
        <w:spacing w:afterLines="0" w:line="400" w:lineRule="exact"/>
        <w:ind w:left="660" w:hanging="660" w:hangingChars="300"/>
        <w:jc w:val="left"/>
        <w:rPr>
          <w:rFonts w:hint="default" w:ascii="Times New Roman" w:hAnsi="Times New Roman" w:eastAsia="仿宋_GB2312" w:cs="Times New Roman"/>
          <w:sz w:val="22"/>
          <w:highlight w:val="none"/>
        </w:rPr>
      </w:pPr>
      <w:r>
        <w:rPr>
          <w:rFonts w:hint="default" w:ascii="Times New Roman" w:hAnsi="Times New Roman" w:eastAsia="仿宋_GB2312" w:cs="Times New Roman"/>
          <w:sz w:val="22"/>
          <w:highlight w:val="none"/>
        </w:rPr>
        <w:t>说明：“项目支出”需要填报基本支出以外的所有项目支出情况，“公用经费”填报基本支出中的一般商品和服务支出。</w:t>
      </w:r>
    </w:p>
    <w:p>
      <w:pPr>
        <w:widowControl/>
        <w:spacing w:afterLines="0" w:line="400" w:lineRule="exact"/>
        <w:jc w:val="left"/>
        <w:rPr>
          <w:rFonts w:hint="default" w:ascii="Times New Roman" w:hAnsi="Times New Roman" w:eastAsia="仿宋_GB2312" w:cs="Times New Roman"/>
          <w:sz w:val="22"/>
          <w:highlight w:val="none"/>
        </w:rPr>
      </w:pPr>
    </w:p>
    <w:p>
      <w:pPr>
        <w:widowControl/>
        <w:spacing w:after="0" w:afterLines="0" w:line="400" w:lineRule="exact"/>
        <w:jc w:val="left"/>
        <w:rPr>
          <w:rFonts w:hint="eastAsia" w:ascii="黑体" w:hAnsi="黑体" w:eastAsia="黑体" w:cs="黑体"/>
          <w:sz w:val="32"/>
          <w:szCs w:val="32"/>
          <w:highlight w:val="none"/>
          <w:lang w:val="en-US" w:eastAsia="zh-CN"/>
        </w:rPr>
      </w:pPr>
      <w:r>
        <w:rPr>
          <w:rFonts w:hint="default" w:ascii="Times New Roman" w:hAnsi="Times New Roman" w:eastAsia="仿宋_GB2312" w:cs="Times New Roman"/>
          <w:sz w:val="22"/>
          <w:highlight w:val="none"/>
        </w:rPr>
        <w:t>填表人：</w:t>
      </w:r>
      <w:r>
        <w:rPr>
          <w:rFonts w:hint="eastAsia" w:eastAsia="仿宋_GB2312" w:cs="Times New Roman"/>
          <w:sz w:val="22"/>
          <w:highlight w:val="none"/>
          <w:lang w:val="en-US" w:eastAsia="zh-CN"/>
        </w:rPr>
        <w:t>卢雪</w:t>
      </w:r>
      <w:r>
        <w:rPr>
          <w:rFonts w:hint="default" w:ascii="Times New Roman" w:hAnsi="Times New Roman" w:eastAsia="仿宋_GB2312" w:cs="Times New Roman"/>
          <w:sz w:val="22"/>
          <w:highlight w:val="none"/>
        </w:rPr>
        <w:t xml:space="preserve"> </w:t>
      </w:r>
      <w:r>
        <w:rPr>
          <w:rFonts w:hint="eastAsia" w:eastAsia="仿宋_GB2312" w:cs="Times New Roman"/>
          <w:sz w:val="22"/>
          <w:highlight w:val="none"/>
          <w:lang w:val="en-US" w:eastAsia="zh-CN"/>
        </w:rPr>
        <w:t xml:space="preserve">  </w:t>
      </w:r>
      <w:r>
        <w:rPr>
          <w:rFonts w:hint="default" w:ascii="Times New Roman" w:hAnsi="Times New Roman" w:eastAsia="仿宋_GB2312" w:cs="Times New Roman"/>
          <w:sz w:val="22"/>
          <w:highlight w:val="none"/>
        </w:rPr>
        <w:t>填报日期：</w:t>
      </w:r>
      <w:r>
        <w:rPr>
          <w:rFonts w:hint="eastAsia" w:eastAsia="仿宋_GB2312" w:cs="Times New Roman"/>
          <w:sz w:val="22"/>
          <w:highlight w:val="none"/>
          <w:lang w:val="en-US" w:eastAsia="zh-CN"/>
        </w:rPr>
        <w:t xml:space="preserve">2025年6月  </w:t>
      </w:r>
      <w:r>
        <w:rPr>
          <w:rFonts w:hint="default" w:ascii="Times New Roman" w:hAnsi="Times New Roman" w:eastAsia="仿宋_GB2312" w:cs="Times New Roman"/>
          <w:sz w:val="22"/>
          <w:highlight w:val="none"/>
        </w:rPr>
        <w:t xml:space="preserve"> 联系电话：</w:t>
      </w:r>
      <w:r>
        <w:rPr>
          <w:rFonts w:hint="eastAsia" w:eastAsia="仿宋_GB2312" w:cs="Times New Roman"/>
          <w:sz w:val="22"/>
          <w:highlight w:val="none"/>
          <w:lang w:val="en-US" w:eastAsia="zh-CN"/>
        </w:rPr>
        <w:t xml:space="preserve">18873000575  </w:t>
      </w:r>
      <w:r>
        <w:rPr>
          <w:rFonts w:hint="default" w:ascii="Times New Roman" w:hAnsi="Times New Roman" w:eastAsia="仿宋_GB2312" w:cs="Times New Roman"/>
          <w:sz w:val="22"/>
          <w:highlight w:val="none"/>
        </w:rPr>
        <w:t>单位负责人签字：</w:t>
      </w:r>
      <w:r>
        <w:rPr>
          <w:rFonts w:hint="default" w:ascii="Times New Roman" w:hAnsi="Times New Roman" w:eastAsia="仿宋_GB2312" w:cs="Times New Roman"/>
          <w:sz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w:t>
      </w:r>
    </w:p>
    <w:p>
      <w:pPr>
        <w:widowControl/>
        <w:spacing w:after="0" w:afterLines="0" w:line="400" w:lineRule="exact"/>
        <w:jc w:val="left"/>
        <w:rPr>
          <w:rFonts w:hint="eastAsia" w:ascii="黑体" w:hAnsi="黑体" w:eastAsia="黑体" w:cs="黑体"/>
          <w:sz w:val="32"/>
          <w:szCs w:val="32"/>
          <w:highlight w:val="none"/>
          <w:lang w:val="en-US" w:eastAsia="zh-CN"/>
        </w:rPr>
      </w:pPr>
    </w:p>
    <w:p>
      <w:pPr>
        <w:widowControl/>
        <w:spacing w:after="120" w:afterLines="50"/>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年度部门整体支出绩效自评表</w:t>
      </w:r>
    </w:p>
    <w:tbl>
      <w:tblPr>
        <w:tblStyle w:val="8"/>
        <w:tblW w:w="10079" w:type="dxa"/>
        <w:jc w:val="center"/>
        <w:tblLayout w:type="autofit"/>
        <w:tblCellMar>
          <w:top w:w="0" w:type="dxa"/>
          <w:left w:w="108" w:type="dxa"/>
          <w:bottom w:w="0" w:type="dxa"/>
          <w:right w:w="108" w:type="dxa"/>
        </w:tblCellMar>
      </w:tblPr>
      <w:tblGrid>
        <w:gridCol w:w="1074"/>
        <w:gridCol w:w="1074"/>
        <w:gridCol w:w="1027"/>
        <w:gridCol w:w="1265"/>
        <w:gridCol w:w="1307"/>
        <w:gridCol w:w="1265"/>
        <w:gridCol w:w="714"/>
        <w:gridCol w:w="916"/>
        <w:gridCol w:w="1437"/>
      </w:tblGrid>
      <w:tr>
        <w:tblPrEx>
          <w:tblCellMar>
            <w:top w:w="0" w:type="dxa"/>
            <w:left w:w="108" w:type="dxa"/>
            <w:bottom w:w="0" w:type="dxa"/>
            <w:right w:w="108" w:type="dxa"/>
          </w:tblCellMar>
        </w:tblPrEx>
        <w:trPr>
          <w:jc w:val="center"/>
        </w:trPr>
        <w:tc>
          <w:tcPr>
            <w:tcW w:w="107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市</w:t>
            </w:r>
            <w:r>
              <w:rPr>
                <w:rFonts w:hint="eastAsia" w:ascii="仿宋_GB2312" w:hAnsi="仿宋_GB2312" w:eastAsia="仿宋_GB2312" w:cs="仿宋_GB2312"/>
                <w:color w:val="000000"/>
                <w:sz w:val="20"/>
                <w:szCs w:val="20"/>
                <w:highlight w:val="none"/>
              </w:rPr>
              <w:t>级预算部门名称</w:t>
            </w:r>
          </w:p>
        </w:tc>
        <w:tc>
          <w:tcPr>
            <w:tcW w:w="9005" w:type="dxa"/>
            <w:gridSpan w:val="8"/>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岳阳市农业综合行政执法支队</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74"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年度预</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算申请</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01"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265"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年初预算数</w:t>
            </w:r>
          </w:p>
        </w:tc>
        <w:tc>
          <w:tcPr>
            <w:tcW w:w="1307"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全年预算数</w:t>
            </w:r>
          </w:p>
        </w:tc>
        <w:tc>
          <w:tcPr>
            <w:tcW w:w="1265"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全年执行数</w:t>
            </w:r>
          </w:p>
        </w:tc>
        <w:tc>
          <w:tcPr>
            <w:tcW w:w="714"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9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37"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74" w:type="dxa"/>
            <w:vMerge w:val="continue"/>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2101"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rPr>
              <w:t>年度资金总额</w:t>
            </w:r>
          </w:p>
        </w:tc>
        <w:tc>
          <w:tcPr>
            <w:tcW w:w="1265"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790.10</w:t>
            </w:r>
          </w:p>
        </w:tc>
        <w:tc>
          <w:tcPr>
            <w:tcW w:w="1307"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1484.79</w:t>
            </w:r>
          </w:p>
        </w:tc>
        <w:tc>
          <w:tcPr>
            <w:tcW w:w="1265"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1376.39</w:t>
            </w:r>
          </w:p>
        </w:tc>
        <w:tc>
          <w:tcPr>
            <w:tcW w:w="714"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10</w:t>
            </w:r>
          </w:p>
        </w:tc>
        <w:tc>
          <w:tcPr>
            <w:tcW w:w="9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92.70 %</w:t>
            </w:r>
          </w:p>
        </w:tc>
        <w:tc>
          <w:tcPr>
            <w:tcW w:w="1437"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9.27</w:t>
            </w:r>
          </w:p>
        </w:tc>
      </w:tr>
      <w:tr>
        <w:tblPrEx>
          <w:tblCellMar>
            <w:top w:w="0" w:type="dxa"/>
            <w:left w:w="108" w:type="dxa"/>
            <w:bottom w:w="0" w:type="dxa"/>
            <w:right w:w="108" w:type="dxa"/>
          </w:tblCellMar>
        </w:tblPrEx>
        <w:trPr>
          <w:jc w:val="center"/>
        </w:trPr>
        <w:tc>
          <w:tcPr>
            <w:tcW w:w="1074"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73"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按收入性质分：</w:t>
            </w:r>
          </w:p>
        </w:tc>
        <w:tc>
          <w:tcPr>
            <w:tcW w:w="4332"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按支出性质分：</w:t>
            </w:r>
          </w:p>
        </w:tc>
      </w:tr>
      <w:tr>
        <w:tblPrEx>
          <w:tblCellMar>
            <w:top w:w="0" w:type="dxa"/>
            <w:left w:w="108" w:type="dxa"/>
            <w:bottom w:w="0" w:type="dxa"/>
            <w:right w:w="108" w:type="dxa"/>
          </w:tblCellMar>
        </w:tblPrEx>
        <w:trPr>
          <w:jc w:val="center"/>
        </w:trPr>
        <w:tc>
          <w:tcPr>
            <w:tcW w:w="1074"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73"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xml:space="preserve">  其中：  一般公共预算：1375.99</w:t>
            </w:r>
          </w:p>
        </w:tc>
        <w:tc>
          <w:tcPr>
            <w:tcW w:w="4332"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其中：基本支出：883.71</w:t>
            </w:r>
          </w:p>
        </w:tc>
      </w:tr>
      <w:tr>
        <w:tblPrEx>
          <w:tblCellMar>
            <w:top w:w="0" w:type="dxa"/>
            <w:left w:w="108" w:type="dxa"/>
            <w:bottom w:w="0" w:type="dxa"/>
            <w:right w:w="108" w:type="dxa"/>
          </w:tblCellMar>
        </w:tblPrEx>
        <w:trPr>
          <w:jc w:val="center"/>
        </w:trPr>
        <w:tc>
          <w:tcPr>
            <w:tcW w:w="1074"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73"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政府性基金拨款：</w:t>
            </w:r>
          </w:p>
        </w:tc>
        <w:tc>
          <w:tcPr>
            <w:tcW w:w="4332"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项目支出：492.68</w:t>
            </w:r>
          </w:p>
        </w:tc>
      </w:tr>
      <w:tr>
        <w:tblPrEx>
          <w:tblCellMar>
            <w:top w:w="0" w:type="dxa"/>
            <w:left w:w="108" w:type="dxa"/>
            <w:bottom w:w="0" w:type="dxa"/>
            <w:right w:w="108" w:type="dxa"/>
          </w:tblCellMar>
        </w:tblPrEx>
        <w:trPr>
          <w:jc w:val="center"/>
        </w:trPr>
        <w:tc>
          <w:tcPr>
            <w:tcW w:w="1074"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73"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纳入专户管理的非税收入拨款：</w:t>
            </w:r>
          </w:p>
        </w:tc>
        <w:tc>
          <w:tcPr>
            <w:tcW w:w="4332"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74"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73" w:type="dxa"/>
            <w:gridSpan w:val="4"/>
            <w:tcBorders>
              <w:top w:val="nil"/>
              <w:left w:val="nil"/>
              <w:bottom w:val="single" w:color="auto" w:sz="4" w:space="0"/>
              <w:right w:val="single" w:color="auto" w:sz="4" w:space="0"/>
            </w:tcBorders>
            <w:noWrap w:val="0"/>
            <w:vAlign w:val="center"/>
          </w:tcPr>
          <w:p>
            <w:pPr>
              <w:widowControl/>
              <w:spacing w:line="240" w:lineRule="exact"/>
              <w:ind w:firstLine="1400" w:firstLineChars="7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其他资金：0.40</w:t>
            </w:r>
          </w:p>
        </w:tc>
        <w:tc>
          <w:tcPr>
            <w:tcW w:w="4332"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74"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673"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332"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7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73"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1：开展农资打假行动，查处和打击生产、经营假冒伪劣农业投入品违法行为，保护农民合法权益； 2：严格农产品质量安全执法监管，定期开展农产品质量安全交叉检查工作，依法查处和打击农产品生产领域质量安全违法行为及中心城区生猪私屠滥宰等行为；3实施好长江“十年禁渔”，加大对重点水域违法捕捞行为的查处打击力度，维护好禁捕秩序。　　</w:t>
            </w:r>
          </w:p>
        </w:tc>
        <w:tc>
          <w:tcPr>
            <w:tcW w:w="4332"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强力推进“十年禁渔”执法工作：根据农业农村部长江办、渔政保障中心和省农业农村厅的部署，全年度共出动执法人员2800余人次，船艇540次，车辆60余台次；检查生产养殖主体2家次，检查门店13家次；立案17起办结17起，其中普通程序9起，简易程序8起，罚款14000元。通过执法巡航，形成了强大震慑，维护了禁捕秩序，巩固了“四清四无”成果。</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大力开展“湘剑”护农专项行动：召开全市农资打假部署会，在全市范围内启动农资打假整治行动，出动执法人员60余人，检查了中心城区农资店铺52家，发现5家店铺存在相关问题。并在全市范围内开展春季“湘剑”护农交叉执法检查，发现问题线索24条，现场交办属地县执法大队限期查处。</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扎实开展农产品质量安全执法行动：制定了《岳阳市中心城区生猪屠宰和肉类市场整治联合执法方案》。与公安联合进行私屠滥宰“静风行动”，我支队联合市市场监督管理局、市公安局等部门，共组织40余名执法力量，对我市中心城区农贸市场开展畜产品质量安全执法检查。</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4、加强执法能力建设培训：参加了省厅组织的三期行政执法能力提升线上培训，组织开展了4期全市农业综合行政执法业务培训。培训邀请了省市农业领域不同专业的专家进行授课，课程围绕依法治国理论、农业行政执法等主题设置，培训贴近基层执法实际，适应执法需求，进一步提升了执法人员业务水平。</w:t>
            </w:r>
          </w:p>
        </w:tc>
      </w:tr>
      <w:tr>
        <w:tblPrEx>
          <w:tblCellMar>
            <w:top w:w="0" w:type="dxa"/>
            <w:left w:w="108" w:type="dxa"/>
            <w:bottom w:w="0" w:type="dxa"/>
            <w:right w:w="108" w:type="dxa"/>
          </w:tblCellMar>
        </w:tblPrEx>
        <w:trPr>
          <w:jc w:val="center"/>
        </w:trPr>
        <w:tc>
          <w:tcPr>
            <w:tcW w:w="1074"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p>
            <w:pPr>
              <w:widowControl/>
              <w:spacing w:line="240" w:lineRule="exact"/>
              <w:jc w:val="center"/>
              <w:rPr>
                <w:rFonts w:hint="eastAsia" w:ascii="仿宋_GB2312" w:hAnsi="仿宋_GB2312" w:eastAsia="仿宋_GB2312" w:cs="仿宋_GB2312"/>
                <w:color w:val="000000"/>
                <w:sz w:val="20"/>
                <w:szCs w:val="20"/>
                <w:highlight w:val="none"/>
              </w:rPr>
            </w:pPr>
          </w:p>
        </w:tc>
        <w:tc>
          <w:tcPr>
            <w:tcW w:w="107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2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307"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年度指标值</w:t>
            </w:r>
          </w:p>
        </w:tc>
        <w:tc>
          <w:tcPr>
            <w:tcW w:w="1265" w:type="dxa"/>
            <w:tcBorders>
              <w:top w:val="nil"/>
              <w:left w:val="nil"/>
              <w:bottom w:val="single" w:color="auto" w:sz="4" w:space="0"/>
              <w:right w:val="single" w:color="auto" w:sz="4" w:space="0"/>
            </w:tcBorders>
            <w:noWrap w:val="0"/>
            <w:vAlign w:val="center"/>
          </w:tcPr>
          <w:p>
            <w:pPr>
              <w:widowControl/>
              <w:spacing w:line="240" w:lineRule="exac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实际完成值</w:t>
            </w:r>
          </w:p>
        </w:tc>
        <w:tc>
          <w:tcPr>
            <w:tcW w:w="71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9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37"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74"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4" w:type="dxa"/>
            <w:vMerge w:val="restart"/>
            <w:tcBorders>
              <w:top w:val="nil"/>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2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年度执法办案数</w:t>
            </w:r>
          </w:p>
        </w:tc>
        <w:tc>
          <w:tcPr>
            <w:tcW w:w="130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30</w:t>
            </w:r>
            <w:r>
              <w:rPr>
                <w:rFonts w:hint="eastAsia" w:ascii="仿宋_GB2312" w:hAnsi="仿宋_GB2312" w:eastAsia="仿宋_GB2312" w:cs="仿宋_GB2312"/>
                <w:color w:val="000000"/>
                <w:sz w:val="20"/>
                <w:szCs w:val="20"/>
                <w:highlight w:val="none"/>
                <w:lang w:val="en-US" w:eastAsia="zh-CN"/>
              </w:rPr>
              <w:t>件</w:t>
            </w: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38</w:t>
            </w:r>
            <w:r>
              <w:rPr>
                <w:rFonts w:hint="eastAsia" w:ascii="仿宋_GB2312" w:hAnsi="仿宋_GB2312" w:eastAsia="仿宋_GB2312" w:cs="仿宋_GB2312"/>
                <w:color w:val="000000"/>
                <w:sz w:val="20"/>
                <w:szCs w:val="20"/>
                <w:highlight w:val="none"/>
                <w:lang w:val="en-US" w:eastAsia="zh-CN"/>
              </w:rPr>
              <w:t>件</w:t>
            </w:r>
          </w:p>
        </w:tc>
        <w:tc>
          <w:tcPr>
            <w:tcW w:w="71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9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3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74"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4"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2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highlight w:val="none"/>
              </w:rPr>
            </w:pP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年度执法巡航次数</w:t>
            </w:r>
          </w:p>
        </w:tc>
        <w:tc>
          <w:tcPr>
            <w:tcW w:w="130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300</w:t>
            </w:r>
            <w:r>
              <w:rPr>
                <w:rFonts w:hint="eastAsia" w:ascii="仿宋_GB2312" w:hAnsi="仿宋_GB2312" w:eastAsia="仿宋_GB2312" w:cs="仿宋_GB2312"/>
                <w:color w:val="000000"/>
                <w:sz w:val="20"/>
                <w:szCs w:val="20"/>
                <w:highlight w:val="none"/>
                <w:lang w:val="en-US" w:eastAsia="zh-CN"/>
              </w:rPr>
              <w:t>艘次</w:t>
            </w: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540</w:t>
            </w:r>
            <w:r>
              <w:rPr>
                <w:rFonts w:hint="eastAsia" w:ascii="仿宋_GB2312" w:hAnsi="仿宋_GB2312" w:eastAsia="仿宋_GB2312" w:cs="仿宋_GB2312"/>
                <w:color w:val="000000"/>
                <w:sz w:val="20"/>
                <w:szCs w:val="20"/>
                <w:highlight w:val="none"/>
                <w:lang w:val="en-US" w:eastAsia="zh-CN"/>
              </w:rPr>
              <w:t>艘次</w:t>
            </w:r>
          </w:p>
        </w:tc>
        <w:tc>
          <w:tcPr>
            <w:tcW w:w="71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9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3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445" w:hRule="atLeast"/>
          <w:jc w:val="center"/>
        </w:trPr>
        <w:tc>
          <w:tcPr>
            <w:tcW w:w="1074"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4"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2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渔政执法能力</w:t>
            </w:r>
          </w:p>
        </w:tc>
        <w:tc>
          <w:tcPr>
            <w:tcW w:w="130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提升明显</w:t>
            </w: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b/>
                <w:bCs/>
                <w:color w:val="000000"/>
                <w:sz w:val="20"/>
                <w:szCs w:val="20"/>
                <w:highlight w:val="none"/>
              </w:rPr>
            </w:pPr>
            <w:r>
              <w:rPr>
                <w:rFonts w:hint="eastAsia" w:ascii="仿宋_GB2312" w:hAnsi="仿宋_GB2312" w:eastAsia="仿宋_GB2312" w:cs="仿宋_GB2312"/>
                <w:color w:val="000000"/>
                <w:sz w:val="20"/>
                <w:szCs w:val="20"/>
                <w:highlight w:val="none"/>
              </w:rPr>
              <w:t>提升明显</w:t>
            </w:r>
          </w:p>
        </w:tc>
        <w:tc>
          <w:tcPr>
            <w:tcW w:w="71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9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3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380" w:hRule="atLeast"/>
          <w:jc w:val="center"/>
        </w:trPr>
        <w:tc>
          <w:tcPr>
            <w:tcW w:w="1074"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4"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2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highlight w:val="none"/>
              </w:rPr>
            </w:pP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立案结案率</w:t>
            </w:r>
          </w:p>
        </w:tc>
        <w:tc>
          <w:tcPr>
            <w:tcW w:w="130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98</w:t>
            </w:r>
            <w:r>
              <w:rPr>
                <w:rFonts w:hint="eastAsia" w:ascii="仿宋_GB2312" w:hAnsi="仿宋_GB2312" w:eastAsia="仿宋_GB2312" w:cs="仿宋_GB2312"/>
                <w:color w:val="000000"/>
                <w:sz w:val="20"/>
                <w:szCs w:val="20"/>
                <w:highlight w:val="none"/>
                <w:lang w:val="en-US" w:eastAsia="zh-CN"/>
              </w:rPr>
              <w:t>%</w:t>
            </w: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71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9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3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415" w:hRule="atLeast"/>
          <w:jc w:val="center"/>
        </w:trPr>
        <w:tc>
          <w:tcPr>
            <w:tcW w:w="1074"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4"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27"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65"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及时上缴非税罚没收入</w:t>
            </w:r>
          </w:p>
        </w:tc>
        <w:tc>
          <w:tcPr>
            <w:tcW w:w="130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12月底前完成</w:t>
            </w: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12月底完成</w:t>
            </w:r>
          </w:p>
        </w:tc>
        <w:tc>
          <w:tcPr>
            <w:tcW w:w="71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9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3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74"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4"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27"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本年合理使用资金，保障事业运行和项目正常进行</w:t>
            </w:r>
          </w:p>
        </w:tc>
        <w:tc>
          <w:tcPr>
            <w:tcW w:w="130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790.1</w:t>
            </w: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1376.39</w:t>
            </w:r>
          </w:p>
        </w:tc>
        <w:tc>
          <w:tcPr>
            <w:tcW w:w="71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9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37"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440" w:hRule="atLeast"/>
          <w:jc w:val="center"/>
        </w:trPr>
        <w:tc>
          <w:tcPr>
            <w:tcW w:w="1074"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4"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27"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对社会影响</w:t>
            </w:r>
          </w:p>
        </w:tc>
        <w:tc>
          <w:tcPr>
            <w:tcW w:w="130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无负面影响</w:t>
            </w: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无负面影响</w:t>
            </w:r>
          </w:p>
        </w:tc>
        <w:tc>
          <w:tcPr>
            <w:tcW w:w="71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9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37"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74"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4" w:type="dxa"/>
            <w:vMerge w:val="continue"/>
            <w:tcBorders>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27"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对自然生态环境影响</w:t>
            </w:r>
          </w:p>
        </w:tc>
        <w:tc>
          <w:tcPr>
            <w:tcW w:w="130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无负面影响</w:t>
            </w: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无负面影响</w:t>
            </w:r>
          </w:p>
        </w:tc>
        <w:tc>
          <w:tcPr>
            <w:tcW w:w="71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9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37"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74"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4" w:type="dxa"/>
            <w:vMerge w:val="restart"/>
            <w:tcBorders>
              <w:top w:val="nil"/>
              <w:left w:val="nil"/>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widowControl/>
              <w:spacing w:line="240" w:lineRule="exact"/>
              <w:jc w:val="left"/>
              <w:rPr>
                <w:rFonts w:hint="eastAsia" w:ascii="仿宋_GB2312" w:hAnsi="仿宋_GB2312" w:eastAsia="仿宋_GB2312" w:cs="仿宋_GB2312"/>
                <w:color w:val="000000"/>
                <w:sz w:val="20"/>
                <w:szCs w:val="20"/>
                <w:highlight w:val="none"/>
              </w:rPr>
            </w:pP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27"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对农业经济发展的积极作用率</w:t>
            </w:r>
          </w:p>
        </w:tc>
        <w:tc>
          <w:tcPr>
            <w:tcW w:w="130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100</w:t>
            </w:r>
            <w:r>
              <w:rPr>
                <w:rFonts w:hint="eastAsia" w:ascii="仿宋_GB2312" w:hAnsi="仿宋_GB2312" w:eastAsia="仿宋_GB2312" w:cs="仿宋_GB2312"/>
                <w:color w:val="000000"/>
                <w:sz w:val="20"/>
                <w:szCs w:val="20"/>
                <w:highlight w:val="none"/>
                <w:lang w:val="en-US" w:eastAsia="zh-CN"/>
              </w:rPr>
              <w:t>%</w:t>
            </w: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r>
              <w:rPr>
                <w:rFonts w:hint="eastAsia" w:ascii="仿宋_GB2312" w:hAnsi="仿宋_GB2312" w:eastAsia="仿宋_GB2312" w:cs="仿宋_GB2312"/>
                <w:color w:val="000000"/>
                <w:sz w:val="20"/>
                <w:szCs w:val="20"/>
                <w:highlight w:val="none"/>
                <w:lang w:val="en-US" w:eastAsia="zh-CN"/>
              </w:rPr>
              <w:t>%</w:t>
            </w:r>
          </w:p>
        </w:tc>
        <w:tc>
          <w:tcPr>
            <w:tcW w:w="71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w:t>
            </w:r>
          </w:p>
        </w:tc>
        <w:tc>
          <w:tcPr>
            <w:tcW w:w="9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w:t>
            </w:r>
          </w:p>
        </w:tc>
        <w:tc>
          <w:tcPr>
            <w:tcW w:w="1437"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530" w:hRule="atLeast"/>
          <w:jc w:val="center"/>
        </w:trPr>
        <w:tc>
          <w:tcPr>
            <w:tcW w:w="1074"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4"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27"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错案率</w:t>
            </w:r>
          </w:p>
        </w:tc>
        <w:tc>
          <w:tcPr>
            <w:tcW w:w="130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3</w:t>
            </w:r>
            <w:r>
              <w:rPr>
                <w:rFonts w:hint="eastAsia" w:ascii="仿宋_GB2312" w:hAnsi="仿宋_GB2312" w:eastAsia="仿宋_GB2312" w:cs="仿宋_GB2312"/>
                <w:color w:val="000000"/>
                <w:sz w:val="20"/>
                <w:szCs w:val="20"/>
                <w:highlight w:val="none"/>
                <w:lang w:val="en-US" w:eastAsia="zh-CN"/>
              </w:rPr>
              <w:t>%</w:t>
            </w: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71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w:t>
            </w:r>
          </w:p>
        </w:tc>
        <w:tc>
          <w:tcPr>
            <w:tcW w:w="9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w:t>
            </w:r>
          </w:p>
        </w:tc>
        <w:tc>
          <w:tcPr>
            <w:tcW w:w="1437"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455" w:hRule="atLeast"/>
          <w:jc w:val="center"/>
        </w:trPr>
        <w:tc>
          <w:tcPr>
            <w:tcW w:w="1074"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4"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27"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highlight w:val="none"/>
              </w:rPr>
            </w:pP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禁渔秩序</w:t>
            </w:r>
          </w:p>
        </w:tc>
        <w:tc>
          <w:tcPr>
            <w:tcW w:w="130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良好</w:t>
            </w: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良好</w:t>
            </w:r>
          </w:p>
        </w:tc>
        <w:tc>
          <w:tcPr>
            <w:tcW w:w="71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w:t>
            </w:r>
          </w:p>
        </w:tc>
        <w:tc>
          <w:tcPr>
            <w:tcW w:w="9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37"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74"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4"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27"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重点水域水生生物资源总量</w:t>
            </w:r>
          </w:p>
        </w:tc>
        <w:tc>
          <w:tcPr>
            <w:tcW w:w="130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稳步恢复</w:t>
            </w: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稳步恢复</w:t>
            </w:r>
          </w:p>
        </w:tc>
        <w:tc>
          <w:tcPr>
            <w:tcW w:w="71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w:t>
            </w:r>
          </w:p>
        </w:tc>
        <w:tc>
          <w:tcPr>
            <w:tcW w:w="9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37"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290" w:hRule="atLeast"/>
          <w:jc w:val="center"/>
        </w:trPr>
        <w:tc>
          <w:tcPr>
            <w:tcW w:w="1074" w:type="dxa"/>
            <w:vMerge w:val="continue"/>
            <w:tcBorders>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1074" w:type="dxa"/>
            <w:vMerge w:val="continue"/>
            <w:tcBorders>
              <w:left w:val="nil"/>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6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社会大众对农业执法及相关法律法规进一步了解及自觉遵守，以维护本市农业生产和生态环境稳步发展。</w:t>
            </w:r>
          </w:p>
        </w:tc>
        <w:tc>
          <w:tcPr>
            <w:tcW w:w="130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逐步提高</w:t>
            </w:r>
          </w:p>
        </w:tc>
        <w:tc>
          <w:tcPr>
            <w:tcW w:w="126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逐步提高</w:t>
            </w:r>
          </w:p>
        </w:tc>
        <w:tc>
          <w:tcPr>
            <w:tcW w:w="71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w:t>
            </w:r>
          </w:p>
        </w:tc>
        <w:tc>
          <w:tcPr>
            <w:tcW w:w="9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w:t>
            </w:r>
          </w:p>
        </w:tc>
        <w:tc>
          <w:tcPr>
            <w:tcW w:w="143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330" w:hRule="atLeast"/>
          <w:jc w:val="center"/>
        </w:trPr>
        <w:tc>
          <w:tcPr>
            <w:tcW w:w="1074"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74" w:type="dxa"/>
            <w:tcBorders>
              <w:top w:val="nil"/>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27"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人民群众满意度</w:t>
            </w:r>
          </w:p>
        </w:tc>
        <w:tc>
          <w:tcPr>
            <w:tcW w:w="130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98%</w:t>
            </w:r>
          </w:p>
        </w:tc>
        <w:tc>
          <w:tcPr>
            <w:tcW w:w="1265"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98%</w:t>
            </w:r>
          </w:p>
        </w:tc>
        <w:tc>
          <w:tcPr>
            <w:tcW w:w="71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9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37"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270" w:hRule="atLeast"/>
          <w:jc w:val="center"/>
        </w:trPr>
        <w:tc>
          <w:tcPr>
            <w:tcW w:w="7012"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71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9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97.27</w:t>
            </w:r>
          </w:p>
        </w:tc>
        <w:tc>
          <w:tcPr>
            <w:tcW w:w="1437"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widowControl/>
        <w:spacing w:line="600" w:lineRule="exact"/>
        <w:jc w:val="left"/>
        <w:rPr>
          <w:rFonts w:hint="eastAsia"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val="en-US" w:eastAsia="zh-CN"/>
        </w:rPr>
        <w:t xml:space="preserve">卢雪  </w:t>
      </w:r>
      <w:r>
        <w:rPr>
          <w:rFonts w:hint="default" w:ascii="Times New Roman" w:hAnsi="Times New Roman" w:eastAsia="仿宋_GB2312" w:cs="Times New Roman"/>
          <w:sz w:val="22"/>
          <w:szCs w:val="22"/>
          <w:highlight w:val="none"/>
        </w:rPr>
        <w:t>填报日期：</w:t>
      </w:r>
      <w:r>
        <w:rPr>
          <w:rFonts w:hint="eastAsia" w:eastAsia="仿宋_GB2312" w:cs="Times New Roman"/>
          <w:sz w:val="22"/>
          <w:szCs w:val="22"/>
          <w:highlight w:val="none"/>
          <w:lang w:val="en-US" w:eastAsia="zh-CN"/>
        </w:rPr>
        <w:t xml:space="preserve">2025年6月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 xml:space="preserve">18873000575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单位负责人签字：</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8"/>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农业综合执法及禁捕退捕专项</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岳阳市农业农村局</w:t>
            </w:r>
          </w:p>
        </w:tc>
        <w:tc>
          <w:tcPr>
            <w:tcW w:w="1134"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岳阳市农业综合行政执法支队</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182</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182</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166.54</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91.51%</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9.15</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开展执法巡航检查300艘次以上，确保聘用船员和渔政警务执勤室辅警工资足额按时发放，农业农村部岳阳渔政执法基地配备船艇处于适航状态，全年办理农业行政处罚一般程序案件30件以上。　　</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下发了《渔政执法人员信息及涉渔行刑衔接案件办理信息的通知》《关于开展“十年禁渔”领域中群众身边不正之风和腐败问题集中整治的通知》《2024年“国庆”期间长江流域重点水域洞庭湖执法行动方案》，积极开展开展中心城区违规垂钓非法捕捞常态化集中整治行动。</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2、组织各县市区农业执法大队负责人召开“十年禁渔”工作推进会8次，针对不同时间段发现的问题进行了相关部署，并对各县市区“十年禁渔”执法情况进行常态化督查暗访。</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根据农业农村部长江办、渔政保障中心和省农业农村厅的部署，对我省洞庭湖水域和长江干流开展了9次执法巡航，共出动执法船艇52艘/次，总巡航52天，总航程近9400余公里，出动巡航人员300余人/次。通过执法巡航，形成了强大震慑，维护了禁捕秩序，巩固了“四清四无”成果。</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4、全年度共出动执法人员2800余人次，船艇540次，车辆60余台次；检查生产养殖主体2家次，检查门店13家次；立案17起办结17起，其中普通程序9起，简易程序8起。</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年度执法办案数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38</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年度执法巡航次数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540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渔政执法能力</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提升明显</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提升明显</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水生生物资源养护水平</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提升明显</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提升明显</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辅警、船员聘用到位及工资发放及时率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聘用辅警及船员人均工资标准</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45000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45000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对社会发展可能造成的负面影响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对自然生态环境可能造成的负面影响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挽回农民经济损失</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发现渔业违法违规行为查处移交率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中国渔政亮剑等执法行动巡查到位率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促进农产品产地生态环境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明显好转</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明显好转</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市民对水生生物资源的保护意识</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明显增强</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明显增强</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农业投入品生产经营主体合规经营意识</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明显增强</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明显增强</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农业执法当事人满意度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农业执法行为投诉率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97.15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val="en-US" w:eastAsia="zh-CN"/>
        </w:rPr>
        <w:t>卢雪</w:t>
      </w:r>
      <w:r>
        <w:rPr>
          <w:rFonts w:hint="eastAsia" w:ascii="Times New Roman" w:hAnsi="Times New Roman" w:eastAsia="仿宋_GB2312" w:cs="Times New Roman"/>
          <w:sz w:val="22"/>
          <w:szCs w:val="22"/>
          <w:highlight w:val="none"/>
          <w:lang w:val="en-US" w:eastAsia="zh-CN"/>
        </w:rPr>
        <w:t xml:space="preserve"> </w:t>
      </w:r>
      <w:r>
        <w:rPr>
          <w:rFonts w:hint="eastAsia"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填报日期：</w:t>
      </w:r>
      <w:r>
        <w:rPr>
          <w:rFonts w:hint="eastAsia" w:eastAsia="仿宋_GB2312" w:cs="Times New Roman"/>
          <w:sz w:val="22"/>
          <w:szCs w:val="22"/>
          <w:highlight w:val="none"/>
          <w:lang w:val="en-US" w:eastAsia="zh-CN"/>
        </w:rPr>
        <w:t xml:space="preserve">2025年6月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 xml:space="preserve">18873000575  </w:t>
      </w:r>
      <w:r>
        <w:rPr>
          <w:rFonts w:hint="default" w:ascii="Times New Roman" w:hAnsi="Times New Roman" w:eastAsia="仿宋_GB2312" w:cs="Times New Roman"/>
          <w:sz w:val="22"/>
          <w:szCs w:val="22"/>
          <w:highlight w:val="none"/>
        </w:rPr>
        <w:t>单位负责人签字：</w:t>
      </w: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8"/>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水产品质量安全监管</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岳阳市农业农村局</w:t>
            </w:r>
          </w:p>
        </w:tc>
        <w:tc>
          <w:tcPr>
            <w:tcW w:w="1134"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岳阳市农业综合行政执法支队</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6.3</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6.3</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5.43</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86.19%</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8.62</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6.3</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6.3</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5.43</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400" w:firstLineChars="2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检查全市水产健康养殖示范场50家以上，完成20批次以上水产品质量安全监督抽查，促进监管对象安全规范使用水产养殖投入品。　　</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400" w:firstLineChars="2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检查全市水产健康养殖示范场60家以上，完成25批次以上水产品质量安全监督抽查，促进监管对象安全规范使用水产养殖投入品。</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执法检查水产健康养殖示范场数量</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60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完成监督抽查样品数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水产品质量安全合格率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≥96%</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96%</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420"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年内完成</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345"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年经费支出</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≤6.3</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5.43</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水产品质量安全形势</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向好</w:t>
            </w:r>
          </w:p>
        </w:tc>
        <w:tc>
          <w:tcPr>
            <w:tcW w:w="113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向好</w:t>
            </w:r>
          </w:p>
        </w:tc>
        <w:tc>
          <w:tcPr>
            <w:tcW w:w="8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w:t>
            </w: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消除水产品质量安全隐患</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减排水产养殖兽药残留超标尾水数量</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≥1200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1500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市民对本地出产水产品质量信赖度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稳步提高</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稳步提高</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市民满意度</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≥98%</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98%</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96.62</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rPr>
          <w:rFonts w:hint="default" w:ascii="Times New Roman" w:hAnsi="Times New Roman" w:eastAsia="仿宋_GB2312" w:cs="Times New Roman"/>
          <w:sz w:val="18"/>
          <w:szCs w:val="18"/>
          <w:highlight w:val="none"/>
          <w:lang w:eastAsia="zh-CN"/>
        </w:rPr>
      </w:pPr>
    </w:p>
    <w:p>
      <w:pPr>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val="en-US" w:eastAsia="zh-CN"/>
        </w:rPr>
        <w:t>卢雪</w:t>
      </w:r>
      <w:r>
        <w:rPr>
          <w:rFonts w:hint="eastAsia" w:ascii="Times New Roman" w:hAnsi="Times New Roman" w:eastAsia="仿宋_GB2312" w:cs="Times New Roman"/>
          <w:sz w:val="22"/>
          <w:szCs w:val="22"/>
          <w:highlight w:val="none"/>
          <w:lang w:val="en-US" w:eastAsia="zh-CN"/>
        </w:rPr>
        <w:t xml:space="preserve"> </w:t>
      </w:r>
      <w:r>
        <w:rPr>
          <w:rFonts w:hint="eastAsia"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填报日期：</w:t>
      </w:r>
      <w:r>
        <w:rPr>
          <w:rFonts w:hint="eastAsia" w:eastAsia="仿宋_GB2312" w:cs="Times New Roman"/>
          <w:sz w:val="22"/>
          <w:szCs w:val="22"/>
          <w:highlight w:val="none"/>
          <w:lang w:val="en-US" w:eastAsia="zh-CN"/>
        </w:rPr>
        <w:t xml:space="preserve">2025年6月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18873000575</w:t>
      </w:r>
      <w:r>
        <w:rPr>
          <w:rFonts w:hint="default" w:ascii="Times New Roman" w:hAnsi="Times New Roman" w:eastAsia="仿宋_GB2312" w:cs="Times New Roman"/>
          <w:sz w:val="22"/>
          <w:szCs w:val="22"/>
          <w:highlight w:val="none"/>
        </w:rPr>
        <w:t xml:space="preserve"> </w:t>
      </w:r>
      <w:r>
        <w:rPr>
          <w:rFonts w:hint="eastAsia"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单位负责人签字：</w:t>
      </w:r>
    </w:p>
    <w:p>
      <w:pPr>
        <w:widowControl/>
        <w:spacing w:line="600" w:lineRule="exact"/>
        <w:jc w:val="left"/>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8"/>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农业行政执法与农民负担监管</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岳阳市农业农村局</w:t>
            </w:r>
          </w:p>
        </w:tc>
        <w:tc>
          <w:tcPr>
            <w:tcW w:w="1134"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岳阳市农业综合行政执法支队</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400" w:firstLineChars="2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检查农资生产经营企业、门店300家次以上，送检农资样品15批次以上，实现全市重点市场农资质量合格率超过98%。　　</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 xml:space="preserve">  </w:t>
            </w:r>
            <w:r>
              <w:rPr>
                <w:rFonts w:hint="eastAsia" w:ascii="仿宋_GB2312" w:hAnsi="仿宋_GB2312" w:eastAsia="仿宋_GB2312" w:cs="仿宋_GB2312"/>
                <w:color w:val="000000"/>
                <w:sz w:val="20"/>
                <w:szCs w:val="20"/>
                <w:highlight w:val="none"/>
              </w:rPr>
              <w:t>1、下发了《关于开展2024年春季湘剑护农交叉执法检查的通知》《岳阳市农资领域秋冬季专项整治行动实施方案》和《关于开展“农资打假”领域中群众身边不正之风和腐败问题集中整治的通知》。</w:t>
            </w:r>
          </w:p>
          <w:p>
            <w:pPr>
              <w:keepNext w:val="0"/>
              <w:keepLines w:val="0"/>
              <w:pageBreakBefore w:val="0"/>
              <w:widowControl/>
              <w:kinsoku/>
              <w:wordWrap/>
              <w:overflowPunct/>
              <w:topLinePunct w:val="0"/>
              <w:autoSpaceDE/>
              <w:autoSpaceDN/>
              <w:bidi w:val="0"/>
              <w:adjustRightInd/>
              <w:snapToGrid/>
              <w:spacing w:line="260" w:lineRule="exact"/>
              <w:ind w:firstLine="400" w:firstLineChars="2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召开全市农资打假部署会，在全市范围内启动农资打假整治行动；开展中心城区农资打假联合执法行动，出动执法人员60余人，检查了中心城区农资店铺52家，发现5家店铺存在相关问题；3月20日至22日在全市范围内开展春季“湘剑”护农交叉执法检查，发现问题线索24条，现场交办属地县执法大队限期查处。</w:t>
            </w:r>
          </w:p>
          <w:p>
            <w:pPr>
              <w:keepNext w:val="0"/>
              <w:keepLines w:val="0"/>
              <w:pageBreakBefore w:val="0"/>
              <w:widowControl/>
              <w:kinsoku/>
              <w:wordWrap/>
              <w:overflowPunct/>
              <w:topLinePunct w:val="0"/>
              <w:autoSpaceDE/>
              <w:autoSpaceDN/>
              <w:bidi w:val="0"/>
              <w:adjustRightInd/>
              <w:snapToGrid/>
              <w:spacing w:line="260" w:lineRule="exact"/>
              <w:ind w:firstLine="400" w:firstLineChars="2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4月在屈原管理区发现有劣质肥料销售，联合公安机关开展行动，对销售、生产犯罪嫌疑人采取了刑事强制措施，并对湖北随州涉案生产厂家进行查封，因涉案金额较多、地方较广，目前公安机关已将嫌疑人移交检察院起诉。</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执法检查农资生产经营企业、门店</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送检农资产品数量</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59</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年内完成该项目所有执法检查</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2024年底前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2024年已完成</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435"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年经费支出</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挽回农民经济损失</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9</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农产品质量安全水平</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稳步提高</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稳步提高</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促进农产品产地生态环境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明显好转</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明显好转</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农业投入品生产经营主体合规经营意识</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明显增强</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明显增强</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农业执法对象满意度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98</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rPr>
          <w:rFonts w:hint="default" w:ascii="Times New Roman" w:hAnsi="Times New Roman" w:eastAsia="仿宋_GB2312" w:cs="Times New Roman"/>
          <w:sz w:val="18"/>
          <w:szCs w:val="18"/>
          <w:highlight w:val="none"/>
          <w:lang w:eastAsia="zh-CN"/>
        </w:rPr>
      </w:pPr>
    </w:p>
    <w:p>
      <w:pPr>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val="en-US" w:eastAsia="zh-CN"/>
        </w:rPr>
        <w:t xml:space="preserve">卢雪  </w:t>
      </w:r>
      <w:r>
        <w:rPr>
          <w:rFonts w:hint="default" w:ascii="Times New Roman" w:hAnsi="Times New Roman" w:eastAsia="仿宋_GB2312" w:cs="Times New Roman"/>
          <w:sz w:val="22"/>
          <w:szCs w:val="22"/>
          <w:highlight w:val="none"/>
        </w:rPr>
        <w:t>填报日期：</w:t>
      </w:r>
      <w:r>
        <w:rPr>
          <w:rFonts w:hint="eastAsia" w:eastAsia="仿宋_GB2312" w:cs="Times New Roman"/>
          <w:sz w:val="22"/>
          <w:szCs w:val="22"/>
          <w:highlight w:val="none"/>
          <w:lang w:val="en-US" w:eastAsia="zh-CN"/>
        </w:rPr>
        <w:t xml:space="preserve">2025年6月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 xml:space="preserve">18873000575  </w:t>
      </w:r>
      <w:r>
        <w:rPr>
          <w:rFonts w:hint="default" w:ascii="Times New Roman" w:hAnsi="Times New Roman" w:eastAsia="仿宋_GB2312" w:cs="Times New Roman"/>
          <w:sz w:val="22"/>
          <w:szCs w:val="22"/>
          <w:highlight w:val="none"/>
        </w:rPr>
        <w:t xml:space="preserve"> 单位负责人签字：</w:t>
      </w: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8"/>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办案费</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岳阳市农业农村局</w:t>
            </w:r>
          </w:p>
        </w:tc>
        <w:tc>
          <w:tcPr>
            <w:tcW w:w="1134"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岳阳市农业综合行政执法支队</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2.31</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77%</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7.7</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2.31</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本单位农业办案工作综合成绩排名全省同类部门前列，办理案件获评省级优秀案卷1件以上。　　</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400" w:firstLineChars="2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1、被农业农村部、公安部、中国海警局评为2023年渔业执法系列专项行动工作突出集体，岳阳楼大队何颖同志被评为工作突出个人。</w:t>
            </w:r>
          </w:p>
          <w:p>
            <w:pPr>
              <w:keepNext w:val="0"/>
              <w:keepLines w:val="0"/>
              <w:pageBreakBefore w:val="0"/>
              <w:widowControl/>
              <w:kinsoku/>
              <w:wordWrap/>
              <w:overflowPunct/>
              <w:topLinePunct w:val="0"/>
              <w:autoSpaceDE/>
              <w:autoSpaceDN/>
              <w:bidi w:val="0"/>
              <w:adjustRightInd/>
              <w:snapToGrid/>
              <w:spacing w:line="260" w:lineRule="exact"/>
              <w:ind w:firstLine="400" w:firstLineChars="2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2、中国渔政022船获2023年度特编执法船队先进集体，易宾、侯梦强等两名同志获先进个人表彰。</w:t>
            </w:r>
          </w:p>
          <w:p>
            <w:pPr>
              <w:keepNext w:val="0"/>
              <w:keepLines w:val="0"/>
              <w:pageBreakBefore w:val="0"/>
              <w:widowControl/>
              <w:kinsoku/>
              <w:wordWrap/>
              <w:overflowPunct/>
              <w:topLinePunct w:val="0"/>
              <w:autoSpaceDE/>
              <w:autoSpaceDN/>
              <w:bidi w:val="0"/>
              <w:adjustRightInd/>
              <w:snapToGrid/>
              <w:spacing w:line="260" w:lineRule="exact"/>
              <w:ind w:firstLine="400" w:firstLineChars="2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3、10月，参加全省农业综合行政执法技能竞赛活动，荣获团体二等奖，君山大队吴微同志荣获个人三等奖。</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办理案件数量同比上升数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465"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立案结案率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办案时效结案率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办理案件成本</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控制在预算金额内</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控制在预算金额内</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提高农民法律意识</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有效提升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有效提升</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减少农业污染</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持续减少</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持续减少</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对农业经济发展的积极作用率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挽回农民经济损失</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＞50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错案率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重点水域水生生物资源</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得到保护</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得到保护</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促进农资市场健康发展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稳步提升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稳步提升</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执法办案行为投诉率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案件当事人对办案结果满意率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97.7</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rPr>
          <w:rFonts w:hint="default" w:ascii="Times New Roman" w:hAnsi="Times New Roman" w:eastAsia="仿宋_GB2312" w:cs="Times New Roman"/>
          <w:sz w:val="18"/>
          <w:szCs w:val="18"/>
          <w:highlight w:val="none"/>
          <w:lang w:eastAsia="zh-CN"/>
        </w:rPr>
      </w:pPr>
    </w:p>
    <w:p>
      <w:pPr>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val="en-US" w:eastAsia="zh-CN"/>
        </w:rPr>
        <w:t xml:space="preserve">卢雪  </w:t>
      </w:r>
      <w:r>
        <w:rPr>
          <w:rFonts w:hint="default" w:ascii="Times New Roman" w:hAnsi="Times New Roman" w:eastAsia="仿宋_GB2312" w:cs="Times New Roman"/>
          <w:sz w:val="22"/>
          <w:szCs w:val="22"/>
          <w:highlight w:val="none"/>
        </w:rPr>
        <w:t>填报日期：</w:t>
      </w:r>
      <w:r>
        <w:rPr>
          <w:rFonts w:hint="eastAsia" w:eastAsia="仿宋_GB2312" w:cs="Times New Roman"/>
          <w:sz w:val="22"/>
          <w:szCs w:val="22"/>
          <w:highlight w:val="none"/>
          <w:lang w:val="en-US" w:eastAsia="zh-CN"/>
        </w:rPr>
        <w:t xml:space="preserve">2025年6月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 xml:space="preserve">18873000575 </w:t>
      </w:r>
      <w:r>
        <w:rPr>
          <w:rFonts w:hint="default" w:ascii="Times New Roman" w:hAnsi="Times New Roman" w:eastAsia="仿宋_GB2312" w:cs="Times New Roman"/>
          <w:sz w:val="22"/>
          <w:szCs w:val="22"/>
          <w:highlight w:val="none"/>
        </w:rPr>
        <w:t>单位负责人签字：</w:t>
      </w: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8"/>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2024年中央渔业资源保护</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岳阳市农业农村局</w:t>
            </w:r>
          </w:p>
        </w:tc>
        <w:tc>
          <w:tcPr>
            <w:tcW w:w="1134"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岳阳市农业综合行政执法支队</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89</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56.88</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63.91%</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6.39</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89</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56.88</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水域生态环境得到改善，渔业种群资源加快恢复　　</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 xml:space="preserve">  </w:t>
            </w:r>
            <w:r>
              <w:rPr>
                <w:rFonts w:hint="eastAsia" w:ascii="仿宋_GB2312" w:hAnsi="仿宋_GB2312" w:eastAsia="仿宋_GB2312" w:cs="仿宋_GB2312"/>
                <w:color w:val="000000"/>
                <w:sz w:val="20"/>
                <w:szCs w:val="20"/>
                <w:highlight w:val="none"/>
              </w:rPr>
              <w:t>开展“守护一江碧水，共促生态文明”为主题的2024年湖南省珍贵濒危水生生物增值放流活动，共向洞庭湖投放苗种521.05万尾，除青、草、鲢、鳙等传统经济鱼种外，另有国家一级保护动物中华鲟500尾、湖南省核心保护物种湘华鲮10万尾等，对有效恢复洞庭湖鱼类种群数量，改善和优化渔业鱼种结构具有重要意义。</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trHeight w:val="665"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渔业增殖放流规模</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130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130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放流物种经检验检疫的批次比例</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w:t>
            </w:r>
            <w:r>
              <w:rPr>
                <w:rFonts w:hint="eastAsia" w:ascii="仿宋_GB2312" w:hAnsi="仿宋_GB2312" w:eastAsia="仿宋_GB2312" w:cs="仿宋_GB2312"/>
                <w:color w:val="000000"/>
                <w:sz w:val="20"/>
                <w:szCs w:val="20"/>
                <w:highlight w:val="none"/>
              </w:rPr>
              <w:t>90%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放流任务完成时间</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2024年10月31日前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2024年9月26日</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620"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社会大众接受度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可接受</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可接受</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生态环境负面影响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无</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无</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540"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放流总金额</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39</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39</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575"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水生生物资源总量</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增长</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增长</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650"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建立人工放流机制</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建立</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已建立</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重要经济物种放流资源贡献率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830"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水生生物栖息地环境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向好</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向好</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475"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增殖放流区域内抽样调查满意度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96.39</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rPr>
          <w:rFonts w:hint="default" w:ascii="Times New Roman" w:hAnsi="Times New Roman" w:eastAsia="仿宋_GB2312" w:cs="Times New Roman"/>
          <w:sz w:val="18"/>
          <w:szCs w:val="18"/>
          <w:highlight w:val="none"/>
          <w:lang w:eastAsia="zh-CN"/>
        </w:rPr>
      </w:pPr>
    </w:p>
    <w:p>
      <w:pPr>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val="en-US" w:eastAsia="zh-CN"/>
        </w:rPr>
        <w:t xml:space="preserve">卢雪  </w:t>
      </w:r>
      <w:r>
        <w:rPr>
          <w:rFonts w:hint="default" w:ascii="Times New Roman" w:hAnsi="Times New Roman" w:eastAsia="仿宋_GB2312" w:cs="Times New Roman"/>
          <w:sz w:val="22"/>
          <w:szCs w:val="22"/>
          <w:highlight w:val="none"/>
        </w:rPr>
        <w:t>填报日期：</w:t>
      </w:r>
      <w:r>
        <w:rPr>
          <w:rFonts w:hint="eastAsia" w:eastAsia="仿宋_GB2312" w:cs="Times New Roman"/>
          <w:sz w:val="22"/>
          <w:szCs w:val="22"/>
          <w:highlight w:val="none"/>
          <w:lang w:val="en-US" w:eastAsia="zh-CN"/>
        </w:rPr>
        <w:t xml:space="preserve">2025年6月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 xml:space="preserve">18873000575  </w:t>
      </w:r>
      <w:r>
        <w:rPr>
          <w:rFonts w:hint="default" w:ascii="Times New Roman" w:hAnsi="Times New Roman" w:eastAsia="仿宋_GB2312" w:cs="Times New Roman"/>
          <w:sz w:val="22"/>
          <w:szCs w:val="22"/>
          <w:highlight w:val="none"/>
        </w:rPr>
        <w:t xml:space="preserve"> 单位负责人签字：</w:t>
      </w: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8"/>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中心城区屠宰市场监管经费</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岳阳市农业农村局</w:t>
            </w:r>
          </w:p>
        </w:tc>
        <w:tc>
          <w:tcPr>
            <w:tcW w:w="1134"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岳阳市农业综合行政执法支队</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50</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1、对中心城区所有屠宰企业实施高频次、全方位监管。每季度开展一次深度检查，包括环境卫生、设备设施维护、人员资质及操作规范等方面，检查覆盖率100%；</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2、加强执法力量与手段，在实施期内，累计查处各类屠宰市场违规案件不少于8件，其中重大违规案件查处率不低于90%。</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3、通过宣传教育、信息公开等手段，提高消费者对屠宰市场食品安全的认知度和信任度，消费者对肉品质量安全满意度逐年提升。　　</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制定了《岳阳市中心城区生猪屠宰和肉类市场整治联合执法方案》。与公安联合进行私屠滥宰“静风行动”，另我支队联合市市场监督管理局、市公安局等部门，共组织40余名执法力量，对我市中心城区农贸市场开展畜产品质量安全执法检查。此次检查，共排查问题隐患5个，现场查获未经检验检疫的“白板肉”300余公斤。今年以来，共捣毁私屠乱宰窝点3个，查扣生猪130头、猪产品2000余公斤，移送司法机关案件2件，刑事拘留3人。</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trHeight w:val="620"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办理私屠乱宰案件</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7</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查处未经检疫猪肉</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7</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605"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完成肉类市场整治</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12</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12</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购买检疫用品</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535"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执法成本</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检疫检验实施率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98%</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98%</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575"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市场损失减少额</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城区肉类市场秩序</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持续好转</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持续好转</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710"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病死动物无害化处理率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屠宰环节问题导致的食品安全事件</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市民群众满意</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98%</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94</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rPr>
          <w:rFonts w:hint="default" w:ascii="Times New Roman" w:hAnsi="Times New Roman" w:eastAsia="仿宋_GB2312" w:cs="Times New Roman"/>
          <w:sz w:val="18"/>
          <w:szCs w:val="18"/>
          <w:highlight w:val="none"/>
          <w:lang w:eastAsia="zh-CN"/>
        </w:rPr>
      </w:pPr>
    </w:p>
    <w:p>
      <w:pPr>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val="en-US" w:eastAsia="zh-CN"/>
        </w:rPr>
        <w:t xml:space="preserve">卢雪  </w:t>
      </w:r>
      <w:r>
        <w:rPr>
          <w:rFonts w:hint="default" w:ascii="Times New Roman" w:hAnsi="Times New Roman" w:eastAsia="仿宋_GB2312" w:cs="Times New Roman"/>
          <w:sz w:val="22"/>
          <w:szCs w:val="22"/>
          <w:highlight w:val="none"/>
        </w:rPr>
        <w:t>填报日期：</w:t>
      </w:r>
      <w:r>
        <w:rPr>
          <w:rFonts w:hint="eastAsia" w:eastAsia="仿宋_GB2312" w:cs="Times New Roman"/>
          <w:sz w:val="22"/>
          <w:szCs w:val="22"/>
          <w:highlight w:val="none"/>
          <w:lang w:val="en-US" w:eastAsia="zh-CN"/>
        </w:rPr>
        <w:t xml:space="preserve">2025年6月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 xml:space="preserve">18873000575  </w:t>
      </w:r>
      <w:r>
        <w:rPr>
          <w:rFonts w:hint="default" w:ascii="Times New Roman" w:hAnsi="Times New Roman" w:eastAsia="仿宋_GB2312" w:cs="Times New Roman"/>
          <w:sz w:val="22"/>
          <w:szCs w:val="22"/>
          <w:highlight w:val="none"/>
        </w:rPr>
        <w:t>单位负责人签字：</w:t>
      </w: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8"/>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lang w:val="en-US" w:eastAsia="zh-CN"/>
              </w:rPr>
              <w:t>2024年生态修复补偿项目</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岳阳市农业农村局</w:t>
            </w:r>
          </w:p>
        </w:tc>
        <w:tc>
          <w:tcPr>
            <w:tcW w:w="1134"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岳阳市农业综合行政执法支队</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143</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133.74</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93.52%</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9.35</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143</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133.74</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完成华能电厂2#泊位提质改造工程对洞庭湖口铜鱼短颌保护区影响生态补偿修复工作　</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 xml:space="preserve">  </w:t>
            </w:r>
            <w:r>
              <w:rPr>
                <w:rFonts w:hint="eastAsia" w:ascii="仿宋_GB2312" w:hAnsi="仿宋_GB2312" w:eastAsia="仿宋_GB2312" w:cs="仿宋_GB2312"/>
                <w:color w:val="000000"/>
                <w:sz w:val="20"/>
                <w:szCs w:val="20"/>
                <w:highlight w:val="none"/>
              </w:rPr>
              <w:t>1、开展人工增值放流活动，共计放流苗种9.6万尾、河蚬、环棱螺12000kg（2000只/kg），其中铜鱼0.2万尾（4-6cm），胭脂鱼1.4万尾（5-8cm），长吻鮠3万尾（5-8cm），草鱼4万尾（8-12cm）。</w:t>
            </w:r>
          </w:p>
          <w:p>
            <w:pPr>
              <w:keepNext w:val="0"/>
              <w:keepLines w:val="0"/>
              <w:pageBreakBefore w:val="0"/>
              <w:widowControl/>
              <w:kinsoku/>
              <w:wordWrap/>
              <w:overflowPunct/>
              <w:topLinePunct w:val="0"/>
              <w:autoSpaceDE/>
              <w:autoSpaceDN/>
              <w:bidi w:val="0"/>
              <w:adjustRightInd/>
              <w:snapToGrid/>
              <w:spacing w:line="260" w:lineRule="exact"/>
              <w:ind w:firstLine="400" w:firstLineChars="2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2、制作水生生物保护宣教影视片。</w:t>
            </w:r>
          </w:p>
          <w:p>
            <w:pPr>
              <w:keepNext w:val="0"/>
              <w:keepLines w:val="0"/>
              <w:pageBreakBefore w:val="0"/>
              <w:widowControl/>
              <w:kinsoku/>
              <w:wordWrap/>
              <w:overflowPunct/>
              <w:topLinePunct w:val="0"/>
              <w:autoSpaceDE/>
              <w:autoSpaceDN/>
              <w:bidi w:val="0"/>
              <w:adjustRightInd/>
              <w:snapToGrid/>
              <w:spacing w:line="260" w:lineRule="exact"/>
              <w:ind w:firstLine="400" w:firstLineChars="2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3、保护区宣教中心已竣工验收。</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trHeight w:val="620"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铜鱼增殖放流数量</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0.2</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0.2</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635"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建设保护区宣教中心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按质按量建成</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已完成</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695"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生态修复完成时限</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2024年底前完成</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已完成95%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635"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项目完成总金额</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不超过143万元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未超过</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对社会发展可能造成的负面影响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对自然生态环境可能造成的负面影响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590"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645" w:hRule="atLeast"/>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公众水生生物保护意识</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明显提高</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明显提高</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铜鱼等水生生物栖息地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得到有效保护</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得到有效保护</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水生生物可持续发展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得到保护</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得到保护</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社会大众满意度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≥98%</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98%</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98.85</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rPr>
          <w:rFonts w:hint="default" w:ascii="Times New Roman" w:hAnsi="Times New Roman" w:eastAsia="仿宋_GB2312" w:cs="Times New Roman"/>
          <w:sz w:val="18"/>
          <w:szCs w:val="18"/>
          <w:highlight w:val="none"/>
          <w:lang w:eastAsia="zh-CN"/>
        </w:rPr>
      </w:pPr>
    </w:p>
    <w:p>
      <w:pPr>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val="en-US" w:eastAsia="zh-CN"/>
        </w:rPr>
        <w:t xml:space="preserve">卢雪  </w:t>
      </w:r>
      <w:r>
        <w:rPr>
          <w:rFonts w:hint="default" w:ascii="Times New Roman" w:hAnsi="Times New Roman" w:eastAsia="仿宋_GB2312" w:cs="Times New Roman"/>
          <w:sz w:val="22"/>
          <w:szCs w:val="22"/>
          <w:highlight w:val="none"/>
        </w:rPr>
        <w:t>填报日期：</w:t>
      </w:r>
      <w:r>
        <w:rPr>
          <w:rFonts w:hint="eastAsia" w:eastAsia="仿宋_GB2312" w:cs="Times New Roman"/>
          <w:sz w:val="22"/>
          <w:szCs w:val="22"/>
          <w:highlight w:val="none"/>
          <w:lang w:val="en-US" w:eastAsia="zh-CN"/>
        </w:rPr>
        <w:t xml:space="preserve">2025年6月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 xml:space="preserve">18873000575  </w:t>
      </w:r>
      <w:r>
        <w:rPr>
          <w:rFonts w:hint="default" w:ascii="Times New Roman" w:hAnsi="Times New Roman" w:eastAsia="仿宋_GB2312" w:cs="Times New Roman"/>
          <w:sz w:val="22"/>
          <w:szCs w:val="22"/>
          <w:highlight w:val="none"/>
        </w:rPr>
        <w:t xml:space="preserve"> 单位负责人签字：</w:t>
      </w: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8"/>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2023年单位指标结余结转</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岳阳市农业农村局</w:t>
            </w:r>
          </w:p>
        </w:tc>
        <w:tc>
          <w:tcPr>
            <w:tcW w:w="1134"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岳阳市农业综合行政执法支队</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58.5</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58.5</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58.5</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58.5</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完成执法基地建设任务，确保智慧渔政指挥中心正常运行　</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已高质量完成执法基地运行保障。</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xml:space="preserve"> 智慧渔政信息化系统维护与升级改造</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1套</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1套</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渔政执法办案能力提升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提升明显</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提升明显</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2024年底前完成</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年底前完成</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已完成</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项目资金额度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不超出额度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未超出</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促进水生生物资源恢复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恢复明显</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恢复明显</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实施好十年禁渔</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秩序稳定</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秩序稳定</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水生生物栖息地环境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持续向好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持续向好</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促进渔业生态环境健康发展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持续向好</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持续向好</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社会公众满意度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≥95%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98%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98</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rPr>
          <w:rFonts w:hint="default" w:ascii="Times New Roman" w:hAnsi="Times New Roman" w:eastAsia="仿宋_GB2312" w:cs="Times New Roman"/>
          <w:sz w:val="18"/>
          <w:szCs w:val="18"/>
          <w:highlight w:val="none"/>
          <w:lang w:eastAsia="zh-CN"/>
        </w:rPr>
      </w:pPr>
    </w:p>
    <w:p>
      <w:pPr>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val="en-US" w:eastAsia="zh-CN"/>
        </w:rPr>
        <w:t xml:space="preserve">卢雪  </w:t>
      </w:r>
      <w:r>
        <w:rPr>
          <w:rFonts w:hint="default" w:ascii="Times New Roman" w:hAnsi="Times New Roman" w:eastAsia="仿宋_GB2312" w:cs="Times New Roman"/>
          <w:sz w:val="22"/>
          <w:szCs w:val="22"/>
          <w:highlight w:val="none"/>
        </w:rPr>
        <w:t>填报日期：</w:t>
      </w:r>
      <w:r>
        <w:rPr>
          <w:rFonts w:hint="eastAsia" w:eastAsia="仿宋_GB2312" w:cs="Times New Roman"/>
          <w:sz w:val="22"/>
          <w:szCs w:val="22"/>
          <w:highlight w:val="none"/>
          <w:lang w:val="en-US" w:eastAsia="zh-CN"/>
        </w:rPr>
        <w:t>2025年6月</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 xml:space="preserve">18873000575  </w:t>
      </w:r>
      <w:r>
        <w:rPr>
          <w:rFonts w:hint="default" w:ascii="Times New Roman" w:hAnsi="Times New Roman" w:eastAsia="仿宋_GB2312" w:cs="Times New Roman"/>
          <w:sz w:val="22"/>
          <w:szCs w:val="22"/>
          <w:highlight w:val="none"/>
        </w:rPr>
        <w:t>单位负责人签字：</w:t>
      </w: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rPr>
          <w:rFonts w:hint="eastAsia"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4</w:t>
      </w:r>
    </w:p>
    <w:p>
      <w:pPr>
        <w:jc w:val="center"/>
        <w:rPr>
          <w:rFonts w:hint="default" w:ascii="Times New Roman" w:hAnsi="Times New Roman" w:eastAsia="方正小标宋_GBK" w:cs="Times New Roman"/>
          <w:sz w:val="52"/>
          <w:szCs w:val="52"/>
          <w:highlight w:val="none"/>
        </w:rPr>
      </w:pPr>
    </w:p>
    <w:p>
      <w:pPr>
        <w:jc w:val="center"/>
        <w:rPr>
          <w:rFonts w:hint="eastAsia"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4</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val="en-US" w:eastAsia="zh-CN"/>
        </w:rPr>
        <w:t>岳阳市农业综合行政执法支队</w:t>
      </w:r>
    </w:p>
    <w:p>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单位整体支出绩效自评报告</w:t>
      </w:r>
    </w:p>
    <w:p>
      <w:pPr>
        <w:jc w:val="center"/>
        <w:rPr>
          <w:rFonts w:hint="default" w:ascii="Times New Roman" w:hAnsi="Times New Roman" w:eastAsia="方正小标宋_GBK" w:cs="Times New Roman"/>
          <w:b/>
          <w:sz w:val="52"/>
          <w:szCs w:val="5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both"/>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spacing w:line="600" w:lineRule="exact"/>
        <w:jc w:val="center"/>
        <w:rPr>
          <w:rFonts w:hint="default" w:ascii="Times New Roman" w:hAnsi="Times New Roman" w:eastAsia="仿宋_GB2312" w:cs="Times New Roman"/>
          <w:sz w:val="32"/>
          <w:szCs w:val="32"/>
          <w:highlight w:val="none"/>
          <w:u w:val="single"/>
          <w:lang w:val="en-US" w:eastAsia="zh-CN"/>
        </w:rPr>
      </w:pPr>
      <w:r>
        <w:rPr>
          <w:rFonts w:hint="default" w:ascii="Times New Roman" w:hAnsi="Times New Roman" w:eastAsia="仿宋_GB2312" w:cs="Times New Roman"/>
          <w:sz w:val="32"/>
          <w:szCs w:val="32"/>
          <w:highlight w:val="none"/>
        </w:rPr>
        <w:t>部门（单位）名称：</w:t>
      </w:r>
      <w:r>
        <w:rPr>
          <w:rFonts w:hint="eastAsia" w:eastAsia="仿宋_GB2312" w:cs="Times New Roman"/>
          <w:sz w:val="32"/>
          <w:szCs w:val="32"/>
          <w:highlight w:val="none"/>
          <w:lang w:val="en-US" w:eastAsia="zh-CN"/>
        </w:rPr>
        <w:t>岳阳市农业综合行政执法支队</w:t>
      </w:r>
    </w:p>
    <w:p>
      <w:pPr>
        <w:spacing w:line="600" w:lineRule="exact"/>
        <w:jc w:val="center"/>
        <w:rPr>
          <w:rFonts w:hint="default" w:ascii="Times New Roman" w:hAnsi="Times New Roman" w:eastAsia="楷体_GB2312" w:cs="Times New Roman"/>
          <w:sz w:val="32"/>
          <w:szCs w:val="32"/>
          <w:highlight w:val="none"/>
        </w:rPr>
      </w:pPr>
      <w:r>
        <w:rPr>
          <w:rFonts w:hint="eastAsia" w:eastAsia="楷体_GB2312" w:cs="Times New Roman"/>
          <w:sz w:val="32"/>
          <w:szCs w:val="32"/>
          <w:highlight w:val="none"/>
          <w:lang w:val="en-US" w:eastAsia="zh-CN"/>
        </w:rPr>
        <w:t>2025</w:t>
      </w:r>
      <w:r>
        <w:rPr>
          <w:rFonts w:hint="default" w:ascii="Times New Roman" w:hAnsi="Times New Roman" w:eastAsia="楷体_GB2312" w:cs="Times New Roman"/>
          <w:sz w:val="32"/>
          <w:szCs w:val="32"/>
          <w:highlight w:val="none"/>
        </w:rPr>
        <w:t xml:space="preserve">年  </w:t>
      </w:r>
      <w:r>
        <w:rPr>
          <w:rFonts w:hint="eastAsia" w:eastAsia="楷体_GB2312" w:cs="Times New Roman"/>
          <w:sz w:val="32"/>
          <w:szCs w:val="32"/>
          <w:highlight w:val="none"/>
          <w:lang w:val="en-US" w:eastAsia="zh-CN"/>
        </w:rPr>
        <w:t>6</w:t>
      </w:r>
      <w:r>
        <w:rPr>
          <w:rFonts w:hint="default" w:ascii="Times New Roman" w:hAnsi="Times New Roman" w:eastAsia="楷体_GB2312" w:cs="Times New Roman"/>
          <w:sz w:val="32"/>
          <w:szCs w:val="32"/>
          <w:highlight w:val="none"/>
        </w:rPr>
        <w:t xml:space="preserve">月  </w:t>
      </w:r>
      <w:r>
        <w:rPr>
          <w:rFonts w:hint="eastAsia" w:eastAsia="楷体_GB2312" w:cs="Times New Roman"/>
          <w:sz w:val="32"/>
          <w:szCs w:val="32"/>
          <w:highlight w:val="none"/>
          <w:lang w:val="en-US" w:eastAsia="zh-CN"/>
        </w:rPr>
        <w:t>20</w:t>
      </w:r>
      <w:r>
        <w:rPr>
          <w:rFonts w:hint="default" w:ascii="Times New Roman" w:hAnsi="Times New Roman" w:eastAsia="楷体_GB2312" w:cs="Times New Roman"/>
          <w:sz w:val="32"/>
          <w:szCs w:val="32"/>
          <w:highlight w:val="none"/>
        </w:rPr>
        <w:t>日</w:t>
      </w:r>
    </w:p>
    <w:p>
      <w:pPr>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（此页为封面）</w:t>
      </w:r>
    </w:p>
    <w:p>
      <w:pPr>
        <w:ind w:firstLine="880" w:firstLineChars="200"/>
        <w:jc w:val="both"/>
        <w:rPr>
          <w:rFonts w:hint="eastAsia" w:ascii="方正小标宋简体" w:hAnsi="方正小标宋简体" w:eastAsia="方正小标宋简体" w:cs="方正小标宋简体"/>
          <w:sz w:val="44"/>
          <w:szCs w:val="44"/>
          <w:highlight w:val="none"/>
        </w:rPr>
      </w:pPr>
    </w:p>
    <w:p>
      <w:pPr>
        <w:ind w:firstLine="880" w:firstLineChars="200"/>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4</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val="en-US" w:eastAsia="zh-CN"/>
        </w:rPr>
        <w:t>岳阳市农业综合行政执法支队</w:t>
      </w:r>
      <w:r>
        <w:rPr>
          <w:rFonts w:hint="eastAsia" w:ascii="方正小标宋简体" w:hAnsi="方正小标宋简体" w:eastAsia="方正小标宋简体" w:cs="方正小标宋简体"/>
          <w:sz w:val="44"/>
          <w:szCs w:val="44"/>
          <w:highlight w:val="none"/>
        </w:rPr>
        <w:t>单位整体支出绩效自评报告</w:t>
      </w:r>
    </w:p>
    <w:p>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部门（单位）基本情况</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（一）职能职责</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 xml:space="preserve"> 根据湘办〔202</w:t>
      </w:r>
      <w:r>
        <w:rPr>
          <w:rFonts w:hint="eastAsia" w:ascii="Times New Roman" w:hAnsi="Times New Roman" w:eastAsia="仿宋_GB2312" w:cs="Times New Roman"/>
          <w:color w:val="000000"/>
          <w:sz w:val="32"/>
          <w:szCs w:val="32"/>
          <w:highlight w:val="none"/>
          <w:lang w:val="en-US" w:eastAsia="zh-CN"/>
        </w:rPr>
        <w:t>4</w:t>
      </w:r>
      <w:r>
        <w:rPr>
          <w:rFonts w:hint="eastAsia" w:ascii="Times New Roman" w:hAnsi="Times New Roman" w:eastAsia="仿宋_GB2312" w:cs="Times New Roman"/>
          <w:color w:val="000000"/>
          <w:sz w:val="32"/>
          <w:szCs w:val="32"/>
          <w:highlight w:val="none"/>
        </w:rPr>
        <w:t>〕2</w:t>
      </w:r>
      <w:r>
        <w:rPr>
          <w:rFonts w:hint="eastAsia" w:ascii="Times New Roman" w:hAnsi="Times New Roman" w:eastAsia="仿宋_GB2312" w:cs="Times New Roman"/>
          <w:color w:val="000000"/>
          <w:sz w:val="32"/>
          <w:szCs w:val="32"/>
          <w:highlight w:val="none"/>
          <w:lang w:val="en-US" w:eastAsia="zh-CN"/>
        </w:rPr>
        <w:t>0</w:t>
      </w:r>
      <w:r>
        <w:rPr>
          <w:rFonts w:hint="eastAsia" w:ascii="Times New Roman" w:hAnsi="Times New Roman" w:eastAsia="仿宋_GB2312" w:cs="Times New Roman"/>
          <w:color w:val="000000"/>
          <w:sz w:val="32"/>
          <w:szCs w:val="32"/>
          <w:highlight w:val="none"/>
        </w:rPr>
        <w:t>号，我单位主要职责如下：</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1、贯彻执行国家</w:t>
      </w:r>
      <w:r>
        <w:rPr>
          <w:rFonts w:hint="eastAsia" w:ascii="Times New Roman" w:hAnsi="Times New Roman" w:eastAsia="仿宋_GB2312" w:cs="Times New Roman"/>
          <w:color w:val="000000"/>
          <w:sz w:val="32"/>
          <w:szCs w:val="32"/>
          <w:highlight w:val="none"/>
          <w:lang w:val="en" w:eastAsia="zh-CN"/>
        </w:rPr>
        <w:t>、省、市和上级农业农村主管部门</w:t>
      </w:r>
      <w:r>
        <w:rPr>
          <w:rFonts w:hint="eastAsia" w:ascii="Times New Roman" w:hAnsi="Times New Roman" w:eastAsia="仿宋_GB2312" w:cs="Times New Roman"/>
          <w:color w:val="000000"/>
          <w:sz w:val="32"/>
          <w:szCs w:val="32"/>
          <w:highlight w:val="none"/>
          <w:lang w:val="en-US" w:eastAsia="zh-CN"/>
        </w:rPr>
        <w:t>有关农业农村方面的法律、法规、规章和政策规定；参与拟订全市农业综合行政执法工作方面的规范性文件、总体规划和年度计划，并组织实施。</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2、承担市</w:t>
      </w:r>
      <w:r>
        <w:rPr>
          <w:rFonts w:hint="eastAsia" w:ascii="Times New Roman" w:hAnsi="Times New Roman" w:eastAsia="仿宋_GB2312" w:cs="Times New Roman"/>
          <w:color w:val="000000"/>
          <w:sz w:val="32"/>
          <w:szCs w:val="32"/>
          <w:highlight w:val="none"/>
          <w:lang w:val="en" w:eastAsia="zh-CN"/>
        </w:rPr>
        <w:t>本级</w:t>
      </w:r>
      <w:r>
        <w:rPr>
          <w:rFonts w:hint="eastAsia" w:ascii="Times New Roman" w:hAnsi="Times New Roman" w:eastAsia="仿宋_GB2312" w:cs="Times New Roman"/>
          <w:color w:val="000000"/>
          <w:sz w:val="32"/>
          <w:szCs w:val="32"/>
          <w:highlight w:val="none"/>
          <w:lang w:val="en-US" w:eastAsia="zh-CN"/>
        </w:rPr>
        <w:t>和市辖区范围内（含岳阳经济技术开发区、南湖新区和城陵矶新港区）的农业综合行政执法工作</w:t>
      </w:r>
      <w:r>
        <w:rPr>
          <w:rFonts w:hint="eastAsia" w:ascii="Times New Roman" w:hAnsi="Times New Roman" w:eastAsia="仿宋_GB2312" w:cs="Times New Roman"/>
          <w:color w:val="000000"/>
          <w:sz w:val="32"/>
          <w:szCs w:val="32"/>
          <w:highlight w:val="none"/>
          <w:lang w:val="en" w:eastAsia="zh-CN"/>
        </w:rPr>
        <w:t>；</w:t>
      </w:r>
      <w:r>
        <w:rPr>
          <w:rFonts w:hint="eastAsia" w:ascii="Times New Roman" w:hAnsi="Times New Roman" w:eastAsia="仿宋_GB2312" w:cs="Times New Roman"/>
          <w:color w:val="000000"/>
          <w:sz w:val="32"/>
          <w:szCs w:val="32"/>
          <w:highlight w:val="none"/>
          <w:lang w:val="en-US" w:eastAsia="zh-CN"/>
        </w:rPr>
        <w:t>承担对县（市）、屈原管理区农业综合行政执法工作的业务指导、协调、监督和考核</w:t>
      </w:r>
      <w:r>
        <w:rPr>
          <w:rFonts w:hint="eastAsia" w:ascii="Times New Roman" w:hAnsi="Times New Roman" w:eastAsia="仿宋_GB2312" w:cs="Times New Roman"/>
          <w:color w:val="000000"/>
          <w:sz w:val="32"/>
          <w:szCs w:val="32"/>
          <w:highlight w:val="none"/>
          <w:lang w:val="en" w:eastAsia="zh-CN"/>
        </w:rPr>
        <w:t>等工作</w:t>
      </w:r>
      <w:r>
        <w:rPr>
          <w:rFonts w:hint="eastAsia" w:ascii="Times New Roman" w:hAnsi="Times New Roman" w:eastAsia="仿宋_GB2312" w:cs="Times New Roman"/>
          <w:color w:val="000000"/>
          <w:sz w:val="32"/>
          <w:szCs w:val="32"/>
          <w:highlight w:val="none"/>
          <w:lang w:val="en-US" w:eastAsia="zh-CN"/>
        </w:rPr>
        <w:t>。</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lang w:val="en-US" w:eastAsia="zh-CN"/>
        </w:rPr>
        <w:t>3、承担</w:t>
      </w:r>
      <w:r>
        <w:rPr>
          <w:rFonts w:hint="eastAsia" w:ascii="Times New Roman" w:hAnsi="Times New Roman" w:eastAsia="仿宋_GB2312" w:cs="Times New Roman"/>
          <w:color w:val="000000"/>
          <w:sz w:val="32"/>
          <w:szCs w:val="32"/>
          <w:highlight w:val="none"/>
        </w:rPr>
        <w:t>全市农业重大复杂</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rPr>
        <w:t>跨</w:t>
      </w:r>
      <w:r>
        <w:rPr>
          <w:rFonts w:hint="eastAsia" w:ascii="Times New Roman" w:hAnsi="Times New Roman" w:eastAsia="仿宋_GB2312" w:cs="Times New Roman"/>
          <w:color w:val="000000"/>
          <w:sz w:val="32"/>
          <w:szCs w:val="32"/>
          <w:highlight w:val="none"/>
          <w:lang w:val="en-US" w:eastAsia="zh-CN"/>
        </w:rPr>
        <w:t>区域</w:t>
      </w:r>
      <w:r>
        <w:rPr>
          <w:rFonts w:hint="eastAsia" w:ascii="Times New Roman" w:hAnsi="Times New Roman" w:eastAsia="仿宋_GB2312" w:cs="Times New Roman"/>
          <w:color w:val="000000"/>
          <w:sz w:val="32"/>
          <w:szCs w:val="32"/>
          <w:highlight w:val="none"/>
        </w:rPr>
        <w:t>违法案件的查处；组织或配合</w:t>
      </w:r>
      <w:r>
        <w:rPr>
          <w:rFonts w:hint="eastAsia" w:ascii="Times New Roman" w:hAnsi="Times New Roman" w:eastAsia="仿宋_GB2312" w:cs="Times New Roman"/>
          <w:color w:val="000000"/>
          <w:sz w:val="32"/>
          <w:szCs w:val="32"/>
          <w:highlight w:val="none"/>
          <w:lang w:val="en-US" w:eastAsia="zh-CN"/>
        </w:rPr>
        <w:t>开展</w:t>
      </w:r>
      <w:r>
        <w:rPr>
          <w:rFonts w:hint="eastAsia" w:ascii="Times New Roman" w:hAnsi="Times New Roman" w:eastAsia="仿宋_GB2312" w:cs="Times New Roman"/>
          <w:color w:val="000000"/>
          <w:sz w:val="32"/>
          <w:szCs w:val="32"/>
          <w:highlight w:val="none"/>
        </w:rPr>
        <w:t>农业联合执法行动；依法查处上级交办、相关部门移送、下级移</w:t>
      </w:r>
      <w:r>
        <w:rPr>
          <w:rFonts w:hint="eastAsia" w:ascii="Times New Roman" w:hAnsi="Times New Roman" w:eastAsia="仿宋_GB2312" w:cs="Times New Roman"/>
          <w:color w:val="000000"/>
          <w:sz w:val="32"/>
          <w:szCs w:val="32"/>
          <w:highlight w:val="none"/>
          <w:lang w:eastAsia="zh-CN"/>
        </w:rPr>
        <w:t>送</w:t>
      </w:r>
      <w:r>
        <w:rPr>
          <w:rFonts w:hint="eastAsia" w:ascii="Times New Roman" w:hAnsi="Times New Roman" w:eastAsia="仿宋_GB2312" w:cs="Times New Roman"/>
          <w:color w:val="000000"/>
          <w:sz w:val="32"/>
          <w:szCs w:val="32"/>
          <w:highlight w:val="none"/>
        </w:rPr>
        <w:t>及群众投诉举报的违法案件。</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4、承担</w:t>
      </w:r>
      <w:r>
        <w:rPr>
          <w:rFonts w:hint="eastAsia" w:ascii="Times New Roman" w:hAnsi="Times New Roman" w:eastAsia="仿宋_GB2312" w:cs="Times New Roman"/>
          <w:color w:val="000000"/>
          <w:sz w:val="32"/>
          <w:szCs w:val="32"/>
          <w:highlight w:val="none"/>
          <w:lang w:val="en"/>
        </w:rPr>
        <w:t>权限范围</w:t>
      </w:r>
      <w:r>
        <w:rPr>
          <w:rFonts w:hint="eastAsia" w:ascii="Times New Roman" w:hAnsi="Times New Roman" w:eastAsia="仿宋_GB2312" w:cs="Times New Roman"/>
          <w:color w:val="000000"/>
          <w:sz w:val="32"/>
          <w:szCs w:val="32"/>
          <w:highlight w:val="none"/>
        </w:rPr>
        <w:t>内种子、肥料、农药、耕地质量、植物检疫、农业转基因生物安全、农业工程项目招投标监管、农业机械方面的农业行政执法工作。</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5、承担</w:t>
      </w:r>
      <w:r>
        <w:rPr>
          <w:rFonts w:hint="eastAsia" w:ascii="Times New Roman" w:hAnsi="Times New Roman" w:eastAsia="仿宋_GB2312" w:cs="Times New Roman"/>
          <w:color w:val="000000"/>
          <w:sz w:val="32"/>
          <w:szCs w:val="32"/>
          <w:highlight w:val="none"/>
          <w:lang w:val="en"/>
        </w:rPr>
        <w:t>权限范围</w:t>
      </w:r>
      <w:r>
        <w:rPr>
          <w:rFonts w:hint="eastAsia" w:ascii="Times New Roman" w:hAnsi="Times New Roman" w:eastAsia="仿宋_GB2312" w:cs="Times New Roman"/>
          <w:color w:val="000000"/>
          <w:sz w:val="32"/>
          <w:szCs w:val="32"/>
          <w:highlight w:val="none"/>
        </w:rPr>
        <w:t>内渔业渔政方面的农业行政执法工作。</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6、承担</w:t>
      </w:r>
      <w:r>
        <w:rPr>
          <w:rFonts w:hint="eastAsia" w:ascii="Times New Roman" w:hAnsi="Times New Roman" w:eastAsia="仿宋_GB2312" w:cs="Times New Roman"/>
          <w:color w:val="000000"/>
          <w:sz w:val="32"/>
          <w:szCs w:val="32"/>
          <w:highlight w:val="none"/>
          <w:lang w:val="en"/>
        </w:rPr>
        <w:t>权限范围</w:t>
      </w:r>
      <w:r>
        <w:rPr>
          <w:rFonts w:hint="eastAsia" w:ascii="Times New Roman" w:hAnsi="Times New Roman" w:eastAsia="仿宋_GB2312" w:cs="Times New Roman"/>
          <w:color w:val="000000"/>
          <w:sz w:val="32"/>
          <w:szCs w:val="32"/>
          <w:highlight w:val="none"/>
        </w:rPr>
        <w:t>内生猪屠宰、畜牧兽医、动物防疫检疫、病死动物及动物产品无害化处理、兽药、饲料和饲料添加剂、农产品质量安全方面的农业行政执法工作。</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7、承担农业行政执法和刑事司法工作衔接，移送涉嫌犯罪案件和线索等工作。</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8、</w:t>
      </w:r>
      <w:r>
        <w:rPr>
          <w:rFonts w:hint="eastAsia" w:ascii="Times New Roman" w:hAnsi="Times New Roman" w:eastAsia="仿宋_GB2312" w:cs="Times New Roman"/>
          <w:color w:val="000000"/>
          <w:sz w:val="32"/>
          <w:szCs w:val="32"/>
          <w:highlight w:val="none"/>
          <w:lang w:val="en"/>
        </w:rPr>
        <w:t>组织</w:t>
      </w:r>
      <w:r>
        <w:rPr>
          <w:rFonts w:hint="eastAsia" w:ascii="Times New Roman" w:hAnsi="Times New Roman" w:eastAsia="仿宋_GB2312" w:cs="Times New Roman"/>
          <w:color w:val="000000"/>
          <w:sz w:val="32"/>
          <w:szCs w:val="32"/>
          <w:highlight w:val="none"/>
        </w:rPr>
        <w:t>全市农业综合行政执法法律法规宣传和培训工作。</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9、承担本单位的安全生产工作。</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10、完成市农业农村局交办的其他工作。</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（二）机构设置</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 w:eastAsia="zh-CN"/>
        </w:rPr>
        <w:t>根据湘办〔202</w:t>
      </w:r>
      <w:r>
        <w:rPr>
          <w:rFonts w:hint="eastAsia" w:ascii="Times New Roman" w:hAnsi="Times New Roman" w:eastAsia="仿宋_GB2312" w:cs="Times New Roman"/>
          <w:color w:val="000000"/>
          <w:sz w:val="32"/>
          <w:szCs w:val="32"/>
          <w:highlight w:val="none"/>
          <w:lang w:val="en-US" w:eastAsia="zh-CN"/>
        </w:rPr>
        <w:t>4</w:t>
      </w:r>
      <w:r>
        <w:rPr>
          <w:rFonts w:hint="eastAsia" w:ascii="Times New Roman" w:hAnsi="Times New Roman" w:eastAsia="仿宋_GB2312" w:cs="Times New Roman"/>
          <w:color w:val="000000"/>
          <w:sz w:val="32"/>
          <w:szCs w:val="32"/>
          <w:highlight w:val="none"/>
          <w:lang w:val="en" w:eastAsia="zh-CN"/>
        </w:rPr>
        <w:t>〕2</w:t>
      </w:r>
      <w:r>
        <w:rPr>
          <w:rFonts w:hint="eastAsia" w:ascii="Times New Roman" w:hAnsi="Times New Roman" w:eastAsia="仿宋_GB2312" w:cs="Times New Roman"/>
          <w:color w:val="000000"/>
          <w:sz w:val="32"/>
          <w:szCs w:val="32"/>
          <w:highlight w:val="none"/>
          <w:lang w:val="en-US" w:eastAsia="zh-CN"/>
        </w:rPr>
        <w:t>0</w:t>
      </w:r>
      <w:r>
        <w:rPr>
          <w:rFonts w:hint="eastAsia" w:ascii="Times New Roman" w:hAnsi="Times New Roman" w:eastAsia="仿宋_GB2312" w:cs="Times New Roman"/>
          <w:color w:val="000000"/>
          <w:sz w:val="32"/>
          <w:szCs w:val="32"/>
          <w:highlight w:val="none"/>
          <w:lang w:val="en" w:eastAsia="zh-CN"/>
        </w:rPr>
        <w:t>号核定，我支队为市农业农村局管理的副处级事业单位，设二</w:t>
      </w:r>
      <w:r>
        <w:rPr>
          <w:rFonts w:hint="eastAsia" w:ascii="Times New Roman" w:hAnsi="Times New Roman" w:eastAsia="仿宋_GB2312" w:cs="Times New Roman"/>
          <w:color w:val="000000"/>
          <w:sz w:val="32"/>
          <w:szCs w:val="32"/>
          <w:highlight w:val="none"/>
          <w:lang w:val="en-US" w:eastAsia="zh-CN"/>
        </w:rPr>
        <w:t>个</w:t>
      </w:r>
      <w:r>
        <w:rPr>
          <w:rFonts w:hint="eastAsia" w:ascii="Times New Roman" w:hAnsi="Times New Roman" w:eastAsia="仿宋_GB2312" w:cs="Times New Roman"/>
          <w:color w:val="000000"/>
          <w:sz w:val="32"/>
          <w:szCs w:val="32"/>
          <w:highlight w:val="none"/>
          <w:lang w:val="en" w:eastAsia="zh-CN"/>
        </w:rPr>
        <w:t>内设机构，六</w:t>
      </w:r>
      <w:r>
        <w:rPr>
          <w:rFonts w:hint="eastAsia" w:ascii="Times New Roman" w:hAnsi="Times New Roman" w:eastAsia="仿宋_GB2312" w:cs="Times New Roman"/>
          <w:color w:val="000000"/>
          <w:sz w:val="32"/>
          <w:szCs w:val="32"/>
          <w:highlight w:val="none"/>
          <w:lang w:val="en-US" w:eastAsia="zh-CN"/>
        </w:rPr>
        <w:t>个</w:t>
      </w:r>
      <w:r>
        <w:rPr>
          <w:rFonts w:hint="eastAsia" w:ascii="Times New Roman" w:hAnsi="Times New Roman" w:eastAsia="仿宋_GB2312" w:cs="Times New Roman"/>
          <w:color w:val="000000"/>
          <w:sz w:val="32"/>
          <w:szCs w:val="32"/>
          <w:highlight w:val="none"/>
          <w:lang w:val="en" w:eastAsia="zh-CN"/>
        </w:rPr>
        <w:t>大队，</w:t>
      </w:r>
      <w:r>
        <w:rPr>
          <w:rFonts w:hint="eastAsia" w:ascii="Times New Roman" w:hAnsi="Times New Roman" w:eastAsia="仿宋_GB2312" w:cs="Times New Roman"/>
          <w:color w:val="000000"/>
          <w:sz w:val="32"/>
          <w:szCs w:val="32"/>
          <w:highlight w:val="none"/>
          <w:lang w:val="en-US" w:eastAsia="zh-CN"/>
        </w:rPr>
        <w:t>全部纳入2025年部门预算编制范围。</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1、二个内设机构为综合科、法制科，规格为副科级。</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2、六个大队分别为</w:t>
      </w:r>
      <w:r>
        <w:rPr>
          <w:rFonts w:hint="eastAsia" w:ascii="Times New Roman" w:hAnsi="Times New Roman" w:eastAsia="仿宋_GB2312" w:cs="Times New Roman"/>
          <w:color w:val="000000"/>
          <w:sz w:val="32"/>
          <w:szCs w:val="32"/>
          <w:highlight w:val="none"/>
          <w:lang w:val="en" w:eastAsia="zh-CN"/>
        </w:rPr>
        <w:t>市农业综合行政执法支队岳阳楼大队</w:t>
      </w:r>
      <w:r>
        <w:rPr>
          <w:rFonts w:hint="eastAsia" w:ascii="Times New Roman" w:hAnsi="Times New Roman" w:eastAsia="仿宋_GB2312" w:cs="Times New Roman"/>
          <w:color w:val="000000"/>
          <w:sz w:val="32"/>
          <w:szCs w:val="32"/>
          <w:highlight w:val="none"/>
          <w:lang w:val="en-US" w:eastAsia="zh-CN"/>
        </w:rPr>
        <w:t>、</w:t>
      </w:r>
      <w:r>
        <w:rPr>
          <w:rFonts w:hint="eastAsia" w:ascii="Times New Roman" w:hAnsi="Times New Roman" w:eastAsia="仿宋_GB2312" w:cs="Times New Roman"/>
          <w:color w:val="000000"/>
          <w:sz w:val="32"/>
          <w:szCs w:val="32"/>
          <w:highlight w:val="none"/>
          <w:lang w:val="en" w:eastAsia="zh-CN"/>
        </w:rPr>
        <w:t>市农业综合行政执法支队云溪大队</w:t>
      </w:r>
      <w:r>
        <w:rPr>
          <w:rFonts w:hint="eastAsia" w:ascii="Times New Roman" w:hAnsi="Times New Roman" w:eastAsia="仿宋_GB2312" w:cs="Times New Roman"/>
          <w:color w:val="000000"/>
          <w:sz w:val="32"/>
          <w:szCs w:val="32"/>
          <w:highlight w:val="none"/>
          <w:lang w:val="en-US" w:eastAsia="zh-CN"/>
        </w:rPr>
        <w:t>、</w:t>
      </w:r>
      <w:r>
        <w:rPr>
          <w:rFonts w:hint="eastAsia" w:ascii="Times New Roman" w:hAnsi="Times New Roman" w:eastAsia="仿宋_GB2312" w:cs="Times New Roman"/>
          <w:color w:val="000000"/>
          <w:sz w:val="32"/>
          <w:szCs w:val="32"/>
          <w:highlight w:val="none"/>
          <w:lang w:val="en" w:eastAsia="zh-CN"/>
        </w:rPr>
        <w:t>市农业综合行政执法支队君山大队</w:t>
      </w:r>
      <w:r>
        <w:rPr>
          <w:rFonts w:hint="eastAsia" w:ascii="Times New Roman" w:hAnsi="Times New Roman" w:eastAsia="仿宋_GB2312" w:cs="Times New Roman"/>
          <w:color w:val="000000"/>
          <w:sz w:val="32"/>
          <w:szCs w:val="32"/>
          <w:highlight w:val="none"/>
          <w:lang w:val="en-US" w:eastAsia="zh-CN"/>
        </w:rPr>
        <w:t>、</w:t>
      </w:r>
      <w:r>
        <w:rPr>
          <w:rFonts w:hint="eastAsia" w:ascii="Times New Roman" w:hAnsi="Times New Roman" w:eastAsia="仿宋_GB2312" w:cs="Times New Roman"/>
          <w:color w:val="000000"/>
          <w:sz w:val="32"/>
          <w:szCs w:val="32"/>
          <w:highlight w:val="none"/>
          <w:lang w:val="en" w:eastAsia="zh-CN"/>
        </w:rPr>
        <w:t>种植和</w:t>
      </w:r>
      <w:r>
        <w:rPr>
          <w:rFonts w:hint="eastAsia" w:ascii="Times New Roman" w:hAnsi="Times New Roman" w:eastAsia="仿宋_GB2312" w:cs="Times New Roman"/>
          <w:color w:val="000000"/>
          <w:sz w:val="32"/>
          <w:szCs w:val="32"/>
          <w:highlight w:val="none"/>
          <w:lang w:val="en-US" w:eastAsia="zh-CN"/>
        </w:rPr>
        <w:t>农机执法</w:t>
      </w:r>
      <w:r>
        <w:rPr>
          <w:rFonts w:hint="eastAsia" w:ascii="Times New Roman" w:hAnsi="Times New Roman" w:eastAsia="仿宋_GB2312" w:cs="Times New Roman"/>
          <w:color w:val="000000"/>
          <w:sz w:val="32"/>
          <w:szCs w:val="32"/>
          <w:highlight w:val="none"/>
          <w:lang w:val="en" w:eastAsia="zh-CN"/>
        </w:rPr>
        <w:t>大队</w:t>
      </w:r>
      <w:r>
        <w:rPr>
          <w:rFonts w:hint="eastAsia" w:ascii="Times New Roman" w:hAnsi="Times New Roman" w:eastAsia="仿宋_GB2312" w:cs="Times New Roman"/>
          <w:color w:val="000000"/>
          <w:sz w:val="32"/>
          <w:szCs w:val="32"/>
          <w:highlight w:val="none"/>
          <w:lang w:val="en-US" w:eastAsia="zh-CN"/>
        </w:rPr>
        <w:t>、渔业</w:t>
      </w:r>
      <w:r>
        <w:rPr>
          <w:rFonts w:hint="eastAsia" w:ascii="Times New Roman" w:hAnsi="Times New Roman" w:eastAsia="仿宋_GB2312" w:cs="Times New Roman"/>
          <w:color w:val="000000"/>
          <w:sz w:val="32"/>
          <w:szCs w:val="32"/>
          <w:highlight w:val="none"/>
          <w:lang w:val="en" w:eastAsia="zh-CN"/>
        </w:rPr>
        <w:t>渔政执法大队</w:t>
      </w:r>
      <w:r>
        <w:rPr>
          <w:rFonts w:hint="eastAsia" w:ascii="Times New Roman" w:hAnsi="Times New Roman" w:eastAsia="仿宋_GB2312" w:cs="Times New Roman"/>
          <w:color w:val="000000"/>
          <w:sz w:val="32"/>
          <w:szCs w:val="32"/>
          <w:highlight w:val="none"/>
          <w:lang w:val="en-US" w:eastAsia="zh-CN"/>
        </w:rPr>
        <w:t>、</w:t>
      </w:r>
      <w:r>
        <w:rPr>
          <w:rFonts w:hint="eastAsia" w:ascii="Times New Roman" w:hAnsi="Times New Roman" w:eastAsia="仿宋_GB2312" w:cs="Times New Roman"/>
          <w:color w:val="000000"/>
          <w:sz w:val="32"/>
          <w:szCs w:val="32"/>
          <w:highlight w:val="none"/>
          <w:lang w:val="en" w:eastAsia="zh-CN"/>
        </w:rPr>
        <w:t>畜牧</w:t>
      </w:r>
      <w:r>
        <w:rPr>
          <w:rFonts w:hint="eastAsia" w:ascii="Times New Roman" w:hAnsi="Times New Roman" w:eastAsia="仿宋_GB2312" w:cs="Times New Roman"/>
          <w:color w:val="000000"/>
          <w:sz w:val="32"/>
          <w:szCs w:val="32"/>
          <w:highlight w:val="none"/>
          <w:lang w:val="en-US" w:eastAsia="zh-CN"/>
        </w:rPr>
        <w:t>和农产品质量安全执法大队，规格为副科级。</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截至2024年12月31日，共有在编人员38人，离退休人员37人。</w:t>
      </w:r>
    </w:p>
    <w:p>
      <w:pPr>
        <w:pStyle w:val="11"/>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二、一般公共预算支出情况</w:t>
      </w:r>
    </w:p>
    <w:p>
      <w:pPr>
        <w:pStyle w:val="11"/>
        <w:keepNext w:val="0"/>
        <w:keepLines w:val="0"/>
        <w:pageBreakBefore w:val="0"/>
        <w:widowControl/>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（一）基本支出情况</w:t>
      </w:r>
    </w:p>
    <w:p>
      <w:pPr>
        <w:pStyle w:val="11"/>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2024年基本支出预算数770.8万元，实际支出决算数883.71万元。其中：人员经费830.52万元，主要包括：基本工资、津贴补贴、奖金、伙食补助、绩效工资、机关事业单位基本养老保险缴费、职工基本医疗保险缴费、其他社会保障缴费、住房公积金等；离休费、退休费、医疗费补助、其他对个人和家庭的补助；公用经费53.19万元，主要包括：办公费、水费、电费、邮电费、物业管理费、会议费、公务接待费、工会经费、福利费、公务用车运行维护费、其他交通费用、其他商品和服务支出。</w:t>
      </w:r>
    </w:p>
    <w:p>
      <w:pPr>
        <w:pStyle w:val="11"/>
        <w:keepNext w:val="0"/>
        <w:keepLines w:val="0"/>
        <w:pageBreakBefore w:val="0"/>
        <w:widowControl/>
        <w:numPr>
          <w:ilvl w:val="0"/>
          <w:numId w:val="2"/>
        </w:numPr>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项目支出情况</w:t>
      </w:r>
    </w:p>
    <w:p>
      <w:pPr>
        <w:pStyle w:val="11"/>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2024年项目支出预算数19.3万元，实际支出决算数492.68万元，用于业务工作经费251.89万元，农业综合执法及禁捕退捕专项166.54万元，水产品质量安全监管5.43万元，农业行政执法与农民负担监管10万元，中心城区屠宰市场监管与检疫经费50万元，江豚保护8.82万元。</w:t>
      </w:r>
    </w:p>
    <w:p>
      <w:pPr>
        <w:pStyle w:val="11"/>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三、政府性基金预算支出情况</w:t>
      </w:r>
    </w:p>
    <w:p>
      <w:pPr>
        <w:pStyle w:val="11"/>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2024年度本单位无政府性基金安排的支出。</w:t>
      </w:r>
    </w:p>
    <w:p>
      <w:pPr>
        <w:pStyle w:val="11"/>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四、国有资本经营预算支出情况</w:t>
      </w:r>
    </w:p>
    <w:p>
      <w:pPr>
        <w:pStyle w:val="11"/>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2024年度本单位无国有资本经营预算支出。</w:t>
      </w:r>
    </w:p>
    <w:p>
      <w:pPr>
        <w:pStyle w:val="11"/>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五、社会保险基金预算支出情况</w:t>
      </w:r>
    </w:p>
    <w:p>
      <w:pPr>
        <w:pStyle w:val="11"/>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2023年度本单位无国有资本经营预算支出。</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六、部门整体支出绩效情况</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一</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 xml:space="preserve">预算支出执行情况 </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1、基本支出：保障人员工资、日常办公等刚性需求，确保队伍稳定运转。</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2、项目支出：聚焦“十年禁渔”执法工作、“湘剑”护农专项行动，完成率95%以上，核心项目全部落地</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sz w:val="32"/>
          <w:szCs w:val="32"/>
          <w:highlight w:val="none"/>
          <w:lang w:val="en-US" w:eastAsia="zh-CN"/>
        </w:rPr>
        <w:t>3、政府采购支出</w:t>
      </w:r>
      <w:r>
        <w:rPr>
          <w:rFonts w:hint="eastAsia" w:ascii="Times New Roman" w:hAnsi="Times New Roman" w:eastAsia="仿宋_GB2312" w:cs="Times New Roman"/>
          <w:color w:val="000000"/>
          <w:sz w:val="32"/>
          <w:szCs w:val="32"/>
          <w:highlight w:val="none"/>
          <w:lang w:val="en-US" w:eastAsia="zh-CN"/>
        </w:rPr>
        <w:t>：执法记录仪、检测设备采购达标，技术支撑能力显著提升。</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4、资产配置支出：优化执法车辆、信息平台等资源配置，资产利用率同比提高10%。</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（二）履职效能</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1、积极开展开展中心城区违规垂钓非法捕捞常态化集中整治行动。组织各县市区农业执法大队负责人召开“十年禁渔”工作推进会8次，针对不同时间段发现的问题进行了相关部署，并对各县市区“十年禁渔”执法情况进行常态化督查暗访。通过执法巡航，形成了强大震慑，维护了禁捕秩序，巩固了“四清四无”成果。</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2、开展以“守护一江碧水  共促生态文明”为主题的2024年湖南省珍贵濒危水生生物增殖放流活动，共向洞庭湖投放苗种521.05万尾（只），除青、草、鲢、鳙等传统经济鱼种外，另有国家一级保护动物中华鲟500尾、湖南省核心保护物种湘华鲮10万尾、乌龟1万只，对有效恢复洞庭湖鱼类种群数量，改善和优化渔业鱼种结构具有重要意义。</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3、在全市范围内开展春季“湘剑”护农交叉执法检查，发现问题线索24条，现场交办属地县执法大队限期查处。在屈原管理区发现有劣质肥料销售，联合公安机关开展行动，对销售、生产犯罪嫌疑人采取了刑事强制措施，并对湖北随州涉案生产厂家进行查封，因涉案金额较多、地方较广，公安机关正在申请部、省督办案件。</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4、制定了《岳阳市中心城区生猪屠宰和肉类市场整治联合执法方案》。1月31日与公安联合进行私屠滥宰“静风行动”，9月13日，我支队联合市市场监督管理局、市公安局等部门，共组织40余名执法力量，对我市中心城区农贸市场开展畜产品质量安全执法检查。此次检查，共排查问题隐患5个，现场查获未经检验检疫的“白板肉”300余公斤。今年以来，共捣毁私屠乱宰窝点3个，查扣生猪130头、猪产品2000余公斤，移送司法机关案件2件，刑事拘留3人。</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（三）社会效力与可持续发展能力</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lang w:val="en-US" w:eastAsia="zh-CN"/>
        </w:rPr>
      </w:pPr>
      <w:r>
        <w:rPr>
          <w:rFonts w:hint="eastAsia" w:ascii="Times New Roman" w:hAnsi="Times New Roman" w:eastAsia="仿宋_GB2312" w:cs="Times New Roman"/>
          <w:color w:val="000000"/>
          <w:sz w:val="32"/>
          <w:szCs w:val="32"/>
          <w:highlight w:val="none"/>
          <w:lang w:val="en-US" w:eastAsia="zh-CN"/>
        </w:rPr>
        <w:t>1、通过媒体普法宣传，提高居民法律意识，行业守法意识增强。</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2、建立执法人才梯队，支队所有工作人员均参加执法证考试，增强执法力量。</w:t>
      </w:r>
    </w:p>
    <w:p>
      <w:pPr>
        <w:pStyle w:val="11"/>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七、存在的问题及原因分析</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sz w:val="32"/>
          <w:szCs w:val="32"/>
          <w:highlight w:val="none"/>
          <w:lang w:val="en-US" w:eastAsia="zh-CN"/>
        </w:rPr>
        <w:t>（一）预算编制有待加强，存在追加经费较多现象，预算编制的精确性有待进一步提高。</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sz w:val="32"/>
          <w:szCs w:val="32"/>
          <w:highlight w:val="none"/>
          <w:lang w:val="en-US" w:eastAsia="zh-CN"/>
        </w:rPr>
        <w:t>（二）绩效管理的运用意识有待提高。针对这些不足，我单位将积极采取改进措施，持续改进，不断规范和强化管理。</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（三）抓队伍建设，促执法效能提升。“打铁还需自身硬”，切实加强农业执法队伍政治建设、作风建设、业务技能建设，努力打造一支政治信念坚定、业务技能娴熟、执法行为规范、人民群众满意的护农铁军。</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（四）抓制度落实，促执法规范稳定。</w:t>
      </w:r>
      <w:r>
        <w:rPr>
          <w:rFonts w:hint="default" w:ascii="Times New Roman" w:hAnsi="Times New Roman" w:eastAsia="仿宋_GB2312" w:cs="Times New Roman"/>
          <w:color w:val="000000"/>
          <w:sz w:val="32"/>
          <w:szCs w:val="32"/>
          <w:highlight w:val="none"/>
          <w:lang w:val="en-US" w:eastAsia="zh-CN"/>
        </w:rPr>
        <w:t>制度的生命在于落实</w:t>
      </w:r>
      <w:r>
        <w:rPr>
          <w:rFonts w:hint="eastAsia" w:ascii="Times New Roman" w:hAnsi="Times New Roman" w:eastAsia="仿宋_GB2312" w:cs="Times New Roman"/>
          <w:color w:val="000000"/>
          <w:sz w:val="32"/>
          <w:szCs w:val="32"/>
          <w:highlight w:val="none"/>
          <w:lang w:val="en-US" w:eastAsia="zh-CN"/>
        </w:rPr>
        <w:t>。认真落实好</w:t>
      </w:r>
      <w:r>
        <w:rPr>
          <w:rFonts w:hint="default" w:ascii="Times New Roman" w:hAnsi="Times New Roman" w:eastAsia="仿宋_GB2312" w:cs="Times New Roman"/>
          <w:color w:val="000000"/>
          <w:sz w:val="32"/>
          <w:szCs w:val="32"/>
          <w:highlight w:val="none"/>
          <w:lang w:val="en-US" w:eastAsia="zh-CN"/>
        </w:rPr>
        <w:t>行政执法“三项制度”</w:t>
      </w:r>
      <w:r>
        <w:rPr>
          <w:rFonts w:hint="eastAsia" w:ascii="Times New Roman" w:hAnsi="Times New Roman" w:eastAsia="仿宋_GB2312" w:cs="Times New Roman"/>
          <w:color w:val="000000"/>
          <w:sz w:val="32"/>
          <w:szCs w:val="32"/>
          <w:highlight w:val="none"/>
          <w:lang w:val="en-US" w:eastAsia="zh-CN"/>
        </w:rPr>
        <w:t>、首违免罚制度，全面推行包容审慎监管执法，推行“有温度执法”，通过规范文明执法，提升农业执法队伍形象。</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五）抓执法办案，促营商环境优化。紧盯“国之大者”，在粮食安全、生态安全、质量安全等方面开展执法检查和办案。通过常态化开展禁捕执法，维护良好禁捕秩序。通过执法检查、宣传教育，引导农业经营主体规范经营，主动遵法守法。通过执法办案，打击假冒伪劣农资产品，保护广大农民合法权益，保障有序的农业生产秩序。</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（六）抓监督考核，促属地责任落实。建立科学考核制度，坚持一季度一讲评。通过考核这个指挥棒，充分调动县市区执法大队的作用。重点是开展好常态化禁捕监督考核，组织好全市跨县市区交叉执法检查。</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八、下一步改进措施</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（一）严格按照《中华人民共和国预算法》及相关制度，根据本单位实际情况并结合以前年度支出情况，综合考虑相关因素，申报年初预算，提高单位预算编制水平。</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（二）定期对绩效目标执行进度进行监控，及时掌握资金支付进度，确保财政资金发挥效益。</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（三）抓队伍建设，促执法效能提升。“打铁还需自身硬”，切实加强农业执法队伍政治建设、作风建设、业务技能建设，努力打造一支政治信念坚定、业务技能娴熟、执法行为规范、人民群众满意的护农铁军。</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（四）抓制度落实，促执法规范稳定。制度的生命在于落实。认真落实好行政执法“三项制度”、首违免罚制度，全面推行包容审慎监管执法，推行“有温度执法”，通过规范文明执法，提升农业执法队伍形象。</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五）抓执法办案，促营商环境优化。紧盯“国之大者”，在粮食安全、生态安全、质量安全等方面开展执法检查和办案。通过常态化开展禁捕执法，维护良好禁捕秩序。通过执法检查、宣传教育，引导农业经营主体规范经营，主动遵法守法。通过执法办案，打击假冒伪劣农资产品，保护广大农民合法权益，保障有序的农业生产秩序。</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（六）抓监督考核，促属地责任落实。建立科学考核制度，坚持一季度一讲评。通过考核这个指挥棒，充分调动县市区执法大队的作用。重点是开展好常态化禁捕监督考核，组织好全市跨县市区交叉执法检查。</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九、部门整体支出绩效自评结果拟应用和公开情况</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绩效自评结果可以进一步规范财政资金管理，强化部门绩效和责任意识，切实提高财政资金使用效益，同时编制下一年的部门预算可以参考绩效自评结果，以提高预算编制的精准性。已按相关要求及时进行预决算公开及整体支出绩效自评的公开。</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十、</w:t>
      </w:r>
      <w:r>
        <w:rPr>
          <w:rFonts w:hint="default" w:ascii="Times New Roman" w:hAnsi="Times New Roman" w:eastAsia="黑体" w:cs="Times New Roman"/>
          <w:sz w:val="32"/>
          <w:szCs w:val="32"/>
          <w:highlight w:val="none"/>
        </w:rPr>
        <w:t>其他需要说明的情况</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报告需要以下附件：</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部门整体支出绩效评价基础数据表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部门整体支出绩效自评表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项目支出绩效自评表（一个一级项目支出一张表）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政府性基金预算支出情况表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国有资本经营预算支出情况表</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社会保险基金预算支出情况表</w:t>
      </w: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5</w:t>
      </w:r>
    </w:p>
    <w:p>
      <w:pPr>
        <w:spacing w:before="313" w:beforeLines="100" w:after="120" w:afterLines="50"/>
        <w:jc w:val="center"/>
        <w:rPr>
          <w:rFonts w:hint="eastAsia" w:ascii="方正小标宋简体" w:hAnsi="方正小标宋简体" w:eastAsia="方正小标宋简体" w:cs="方正小标宋简体"/>
          <w:spacing w:val="-6"/>
          <w:sz w:val="36"/>
          <w:szCs w:val="36"/>
          <w:highlight w:val="none"/>
        </w:rPr>
      </w:pPr>
      <w:r>
        <w:rPr>
          <w:rFonts w:hint="eastAsia" w:ascii="方正小标宋简体" w:hAnsi="方正小标宋简体" w:eastAsia="方正小标宋简体" w:cs="方正小标宋简体"/>
          <w:sz w:val="36"/>
          <w:szCs w:val="36"/>
          <w:highlight w:val="none"/>
        </w:rPr>
        <w:t>部门整体支出</w:t>
      </w:r>
      <w:r>
        <w:rPr>
          <w:rFonts w:hint="eastAsia" w:ascii="方正小标宋简体" w:hAnsi="方正小标宋简体" w:eastAsia="方正小标宋简体" w:cs="方正小标宋简体"/>
          <w:spacing w:val="-6"/>
          <w:sz w:val="36"/>
          <w:szCs w:val="36"/>
          <w:highlight w:val="none"/>
        </w:rPr>
        <w:t>绩效自评工作考核评分表</w:t>
      </w:r>
    </w:p>
    <w:tbl>
      <w:tblPr>
        <w:tblStyle w:val="8"/>
        <w:tblW w:w="9941" w:type="dxa"/>
        <w:jc w:val="center"/>
        <w:tblLayout w:type="fixed"/>
        <w:tblCellMar>
          <w:top w:w="0" w:type="dxa"/>
          <w:left w:w="108" w:type="dxa"/>
          <w:bottom w:w="0" w:type="dxa"/>
          <w:right w:w="108" w:type="dxa"/>
        </w:tblCellMar>
      </w:tblPr>
      <w:tblGrid>
        <w:gridCol w:w="745"/>
        <w:gridCol w:w="1174"/>
        <w:gridCol w:w="5000"/>
        <w:gridCol w:w="3022"/>
      </w:tblGrid>
      <w:tr>
        <w:tblPrEx>
          <w:tblCellMar>
            <w:top w:w="0" w:type="dxa"/>
            <w:left w:w="108" w:type="dxa"/>
            <w:bottom w:w="0" w:type="dxa"/>
            <w:right w:w="108" w:type="dxa"/>
          </w:tblCellMar>
        </w:tblPrEx>
        <w:trPr>
          <w:tblHeader/>
          <w:jc w:val="center"/>
        </w:trPr>
        <w:tc>
          <w:tcPr>
            <w:tcW w:w="745"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一级指标</w:t>
            </w: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二级指标</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评分标准</w:t>
            </w:r>
          </w:p>
        </w:tc>
        <w:tc>
          <w:tcPr>
            <w:tcW w:w="3022"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所需佐证材料</w:t>
            </w:r>
          </w:p>
        </w:tc>
      </w:tr>
      <w:tr>
        <w:tblPrEx>
          <w:tblCellMar>
            <w:top w:w="0" w:type="dxa"/>
            <w:left w:w="108" w:type="dxa"/>
            <w:bottom w:w="0" w:type="dxa"/>
            <w:right w:w="108" w:type="dxa"/>
          </w:tblCellMar>
        </w:tblPrEx>
        <w:trPr>
          <w:jc w:val="center"/>
        </w:trPr>
        <w:tc>
          <w:tcPr>
            <w:tcW w:w="745" w:type="dxa"/>
            <w:vMerge w:val="restart"/>
            <w:tcBorders>
              <w:top w:val="single" w:color="auto" w:sz="4" w:space="0"/>
              <w:left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布置工作</w:t>
            </w:r>
          </w:p>
          <w:p>
            <w:pPr>
              <w:spacing w:line="300" w:lineRule="exact"/>
              <w:jc w:val="center"/>
              <w:rPr>
                <w:rFonts w:hint="default" w:ascii="Times New Roman" w:hAnsi="Times New Roman" w:eastAsia="仿宋_GB2312" w:cs="Times New Roman"/>
                <w:sz w:val="20"/>
                <w:szCs w:val="20"/>
                <w:highlight w:val="none"/>
              </w:rPr>
            </w:pPr>
          </w:p>
          <w:p>
            <w:pPr>
              <w:spacing w:line="300" w:lineRule="exact"/>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10分</w:t>
            </w:r>
          </w:p>
        </w:tc>
        <w:tc>
          <w:tcPr>
            <w:tcW w:w="1174" w:type="dxa"/>
            <w:tcBorders>
              <w:top w:val="single" w:color="auto" w:sz="4" w:space="0"/>
              <w:left w:val="nil"/>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自评通知</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（8分）</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印发绩效自评通知的得2分，否则不得分。</w:t>
            </w:r>
          </w:p>
          <w:p>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按照本规程规定，绩效自评通知包括自评范围、自评主要依据、自评主要内容、自评程序和步骤、有关要求等内容，并附有本通知要求的附件的，得6分；否则缺1项扣1分，最多扣6分。</w:t>
            </w:r>
          </w:p>
        </w:tc>
        <w:tc>
          <w:tcPr>
            <w:tcW w:w="3022"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绩效自评通知盖章的电子版</w:t>
            </w:r>
          </w:p>
        </w:tc>
      </w:tr>
      <w:tr>
        <w:tblPrEx>
          <w:tblCellMar>
            <w:top w:w="0" w:type="dxa"/>
            <w:left w:w="108" w:type="dxa"/>
            <w:bottom w:w="0" w:type="dxa"/>
            <w:right w:w="108" w:type="dxa"/>
          </w:tblCellMar>
        </w:tblPrEx>
        <w:trPr>
          <w:trHeight w:val="996" w:hRule="atLeast"/>
          <w:jc w:val="center"/>
        </w:trPr>
        <w:tc>
          <w:tcPr>
            <w:tcW w:w="745" w:type="dxa"/>
            <w:vMerge w:val="continue"/>
            <w:tcBorders>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工作小组</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（2分）</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成立绩效自评工作小组的得2分，否则不得分。</w:t>
            </w:r>
          </w:p>
        </w:tc>
        <w:tc>
          <w:tcPr>
            <w:tcW w:w="3022"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本部门、本单位预算绩效管理领导小组</w:t>
            </w:r>
            <w:r>
              <w:rPr>
                <w:rFonts w:hint="default" w:ascii="Times New Roman" w:hAnsi="Times New Roman" w:eastAsia="仿宋_GB2312" w:cs="Times New Roman"/>
                <w:spacing w:val="0"/>
                <w:sz w:val="20"/>
                <w:szCs w:val="20"/>
                <w:highlight w:val="none"/>
                <w:lang w:val="en-US" w:eastAsia="zh-CN"/>
              </w:rPr>
              <w:t>/</w:t>
            </w:r>
            <w:r>
              <w:rPr>
                <w:rFonts w:hint="default" w:ascii="Times New Roman" w:hAnsi="Times New Roman" w:eastAsia="仿宋_GB2312" w:cs="Times New Roman"/>
                <w:sz w:val="20"/>
                <w:szCs w:val="20"/>
                <w:highlight w:val="none"/>
              </w:rPr>
              <w:t>绩效评价工作小组</w:t>
            </w:r>
            <w:r>
              <w:rPr>
                <w:rFonts w:hint="default" w:ascii="Times New Roman" w:hAnsi="Times New Roman" w:eastAsia="仿宋_GB2312" w:cs="Times New Roman"/>
                <w:sz w:val="20"/>
                <w:szCs w:val="20"/>
                <w:highlight w:val="none"/>
                <w:lang w:eastAsia="zh-CN"/>
              </w:rPr>
              <w:t>有关</w:t>
            </w:r>
            <w:r>
              <w:rPr>
                <w:rFonts w:hint="default" w:ascii="Times New Roman" w:hAnsi="Times New Roman" w:eastAsia="仿宋_GB2312" w:cs="Times New Roman"/>
                <w:spacing w:val="0"/>
                <w:sz w:val="20"/>
                <w:szCs w:val="20"/>
                <w:highlight w:val="none"/>
              </w:rPr>
              <w:t>文件</w:t>
            </w:r>
            <w:r>
              <w:rPr>
                <w:rFonts w:hint="default" w:ascii="Times New Roman" w:hAnsi="Times New Roman" w:eastAsia="仿宋_GB2312" w:cs="Times New Roman"/>
                <w:sz w:val="20"/>
                <w:szCs w:val="20"/>
                <w:highlight w:val="none"/>
              </w:rPr>
              <w:t>盖章的电子版</w:t>
            </w:r>
          </w:p>
        </w:tc>
      </w:tr>
      <w:tr>
        <w:tblPrEx>
          <w:tblCellMar>
            <w:top w:w="0" w:type="dxa"/>
            <w:left w:w="108" w:type="dxa"/>
            <w:bottom w:w="0" w:type="dxa"/>
            <w:right w:w="108" w:type="dxa"/>
          </w:tblCellMar>
        </w:tblPrEx>
        <w:trPr>
          <w:trHeight w:val="1320" w:hRule="atLeast"/>
          <w:jc w:val="center"/>
        </w:trPr>
        <w:tc>
          <w:tcPr>
            <w:tcW w:w="745" w:type="dxa"/>
            <w:vMerge w:val="restart"/>
            <w:tcBorders>
              <w:top w:val="single" w:color="auto" w:sz="4" w:space="0"/>
              <w:left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实施评价</w:t>
            </w:r>
          </w:p>
          <w:p>
            <w:pPr>
              <w:spacing w:line="300" w:lineRule="exact"/>
              <w:jc w:val="center"/>
              <w:rPr>
                <w:rFonts w:hint="default" w:ascii="Times New Roman" w:hAnsi="Times New Roman" w:eastAsia="仿宋_GB2312" w:cs="Times New Roman"/>
                <w:sz w:val="20"/>
                <w:szCs w:val="20"/>
                <w:highlight w:val="none"/>
              </w:rPr>
            </w:pP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20分</w:t>
            </w: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单位自查</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（10分）</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r>
              <w:rPr>
                <w:rFonts w:hint="eastAsia" w:ascii="Times New Roman" w:hAnsi="Times New Roman" w:eastAsia="仿宋_GB2312" w:cs="Times New Roman"/>
                <w:sz w:val="20"/>
                <w:szCs w:val="20"/>
                <w:highlight w:val="none"/>
                <w:lang w:eastAsia="zh-CN"/>
              </w:rPr>
              <w:t>市级</w:t>
            </w:r>
            <w:r>
              <w:rPr>
                <w:rFonts w:hint="default" w:ascii="Times New Roman" w:hAnsi="Times New Roman" w:eastAsia="仿宋_GB2312" w:cs="Times New Roman"/>
                <w:sz w:val="20"/>
                <w:szCs w:val="20"/>
                <w:highlight w:val="none"/>
              </w:rPr>
              <w:t>预算部门本级和所属单位都要开展绩效自查，转移支付项目单位都要开展绩效自查，</w:t>
            </w:r>
            <w:r>
              <w:rPr>
                <w:rFonts w:hint="eastAsia" w:ascii="Times New Roman" w:hAnsi="Times New Roman" w:eastAsia="仿宋_GB2312" w:cs="Times New Roman"/>
                <w:sz w:val="20"/>
                <w:szCs w:val="20"/>
                <w:highlight w:val="none"/>
                <w:lang w:eastAsia="zh-CN"/>
              </w:rPr>
              <w:t>县、区</w:t>
            </w:r>
            <w:r>
              <w:rPr>
                <w:rFonts w:hint="default" w:ascii="Times New Roman" w:hAnsi="Times New Roman" w:eastAsia="仿宋_GB2312" w:cs="Times New Roman"/>
                <w:sz w:val="20"/>
                <w:szCs w:val="20"/>
                <w:highlight w:val="none"/>
              </w:rPr>
              <w:t>级主管部门都要汇总本区域转移支付情况；以上各项每发现一个单位没有做相应工作的，扣1分，最多扣10分。</w:t>
            </w:r>
          </w:p>
        </w:tc>
        <w:tc>
          <w:tcPr>
            <w:tcW w:w="3022" w:type="dxa"/>
            <w:tcBorders>
              <w:top w:val="single" w:color="auto" w:sz="4" w:space="0"/>
              <w:left w:val="nil"/>
              <w:bottom w:val="single" w:color="auto" w:sz="4" w:space="0"/>
              <w:right w:val="single" w:color="auto" w:sz="4" w:space="0"/>
            </w:tcBorders>
            <w:noWrap w:val="0"/>
            <w:vAlign w:val="center"/>
          </w:tcPr>
          <w:p>
            <w:pPr>
              <w:numPr>
                <w:ilvl w:val="0"/>
                <w:numId w:val="3"/>
              </w:num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转移支付项目单位名称和资</w:t>
            </w:r>
            <w:r>
              <w:rPr>
                <w:rFonts w:hint="eastAsia" w:ascii="Times New Roman" w:hAnsi="Times New Roman" w:eastAsia="仿宋_GB2312" w:cs="Times New Roman"/>
                <w:sz w:val="20"/>
                <w:szCs w:val="20"/>
                <w:highlight w:val="none"/>
                <w:lang w:val="en-US" w:eastAsia="zh-CN"/>
              </w:rPr>
              <w:t xml:space="preserve"> </w:t>
            </w:r>
            <w:r>
              <w:rPr>
                <w:rFonts w:hint="default" w:ascii="Times New Roman" w:hAnsi="Times New Roman" w:eastAsia="仿宋_GB2312" w:cs="Times New Roman"/>
                <w:sz w:val="20"/>
                <w:szCs w:val="20"/>
                <w:highlight w:val="none"/>
              </w:rPr>
              <w:t>金情况清单</w:t>
            </w:r>
          </w:p>
          <w:p>
            <w:pPr>
              <w:numPr>
                <w:ilvl w:val="0"/>
                <w:numId w:val="3"/>
              </w:num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有转移支付资金的各</w:t>
            </w:r>
            <w:r>
              <w:rPr>
                <w:rFonts w:hint="eastAsia" w:ascii="Times New Roman" w:hAnsi="Times New Roman" w:eastAsia="仿宋_GB2312" w:cs="Times New Roman"/>
                <w:sz w:val="20"/>
                <w:szCs w:val="20"/>
                <w:highlight w:val="none"/>
                <w:lang w:eastAsia="zh-CN"/>
              </w:rPr>
              <w:t>县区</w:t>
            </w:r>
            <w:r>
              <w:rPr>
                <w:rFonts w:hint="default" w:ascii="Times New Roman" w:hAnsi="Times New Roman" w:eastAsia="仿宋_GB2312" w:cs="Times New Roman"/>
                <w:sz w:val="20"/>
                <w:szCs w:val="20"/>
                <w:highlight w:val="none"/>
              </w:rPr>
              <w:t>主管部门汇总情况的盖章PDF版　</w:t>
            </w:r>
          </w:p>
        </w:tc>
      </w:tr>
      <w:tr>
        <w:tblPrEx>
          <w:tblCellMar>
            <w:top w:w="0" w:type="dxa"/>
            <w:left w:w="108" w:type="dxa"/>
            <w:bottom w:w="0" w:type="dxa"/>
            <w:right w:w="108" w:type="dxa"/>
          </w:tblCellMar>
        </w:tblPrEx>
        <w:trPr>
          <w:jc w:val="center"/>
        </w:trPr>
        <w:tc>
          <w:tcPr>
            <w:tcW w:w="745" w:type="dxa"/>
            <w:vMerge w:val="continue"/>
            <w:tcBorders>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p>
        </w:tc>
        <w:tc>
          <w:tcPr>
            <w:tcW w:w="1174" w:type="dxa"/>
            <w:tcBorders>
              <w:top w:val="nil"/>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提交报告</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（10分）</w:t>
            </w:r>
          </w:p>
        </w:tc>
        <w:tc>
          <w:tcPr>
            <w:tcW w:w="8022" w:type="dxa"/>
            <w:gridSpan w:val="2"/>
            <w:tcBorders>
              <w:top w:val="nil"/>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按时向</w:t>
            </w:r>
            <w:r>
              <w:rPr>
                <w:rFonts w:hint="eastAsia" w:ascii="Times New Roman" w:hAnsi="Times New Roman" w:eastAsia="仿宋_GB2312" w:cs="Times New Roman"/>
                <w:sz w:val="20"/>
                <w:szCs w:val="20"/>
                <w:highlight w:val="none"/>
                <w:lang w:eastAsia="zh-CN"/>
              </w:rPr>
              <w:t>市财政局</w:t>
            </w:r>
            <w:r>
              <w:rPr>
                <w:rFonts w:hint="default" w:ascii="Times New Roman" w:hAnsi="Times New Roman" w:eastAsia="仿宋_GB2312" w:cs="Times New Roman"/>
                <w:sz w:val="20"/>
                <w:szCs w:val="20"/>
                <w:highlight w:val="none"/>
              </w:rPr>
              <w:t>报送报告的得10分；每推迟一个工作日报送报告的扣1分，最多扣10分。</w:t>
            </w:r>
          </w:p>
        </w:tc>
      </w:tr>
      <w:tr>
        <w:tblPrEx>
          <w:tblCellMar>
            <w:top w:w="0" w:type="dxa"/>
            <w:left w:w="108" w:type="dxa"/>
            <w:bottom w:w="0" w:type="dxa"/>
            <w:right w:w="108" w:type="dxa"/>
          </w:tblCellMar>
        </w:tblPrEx>
        <w:trPr>
          <w:trHeight w:val="740" w:hRule="atLeast"/>
          <w:jc w:val="center"/>
        </w:trPr>
        <w:tc>
          <w:tcPr>
            <w:tcW w:w="745"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自评报告</w:t>
            </w:r>
          </w:p>
          <w:p>
            <w:pPr>
              <w:spacing w:line="300" w:lineRule="exact"/>
              <w:jc w:val="center"/>
              <w:rPr>
                <w:rFonts w:hint="default" w:ascii="Times New Roman" w:hAnsi="Times New Roman" w:eastAsia="仿宋_GB2312" w:cs="Times New Roman"/>
                <w:sz w:val="20"/>
                <w:szCs w:val="20"/>
                <w:highlight w:val="none"/>
              </w:rPr>
            </w:pP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70分</w:t>
            </w: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完整性</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（15分）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绩效自评报告正文部分内容齐全的，得8分；否则每少一个部分扣2分，最多扣8分。</w:t>
            </w:r>
          </w:p>
          <w:p>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绩效自评报告附件部分内容齐全的，得7分；否则每少一个部分扣2分，最多扣7分。</w:t>
            </w:r>
          </w:p>
        </w:tc>
      </w:tr>
      <w:tr>
        <w:tblPrEx>
          <w:tblCellMar>
            <w:top w:w="0" w:type="dxa"/>
            <w:left w:w="108" w:type="dxa"/>
            <w:bottom w:w="0" w:type="dxa"/>
            <w:right w:w="108" w:type="dxa"/>
          </w:tblCellMar>
        </w:tblPrEx>
        <w:trPr>
          <w:trHeight w:val="2592"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p>
        </w:tc>
        <w:tc>
          <w:tcPr>
            <w:tcW w:w="1174" w:type="dxa"/>
            <w:tcBorders>
              <w:top w:val="single" w:color="auto" w:sz="4" w:space="0"/>
              <w:left w:val="nil"/>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绩效</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自评表</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（20分）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1、部门整体支出和项目支出绩效指标反映产出、效益、服务对象满意度方面的指标和预算执行率的权重符合《</w:t>
            </w:r>
            <w:r>
              <w:rPr>
                <w:rFonts w:hint="eastAsia" w:ascii="Times New Roman" w:hAnsi="Times New Roman" w:eastAsia="仿宋_GB2312" w:cs="Times New Roman"/>
                <w:sz w:val="20"/>
                <w:szCs w:val="20"/>
                <w:highlight w:val="none"/>
                <w:lang w:eastAsia="zh-CN"/>
              </w:rPr>
              <w:t>岳阳市市级</w:t>
            </w:r>
            <w:r>
              <w:rPr>
                <w:rFonts w:hint="default" w:ascii="Times New Roman" w:hAnsi="Times New Roman" w:eastAsia="仿宋_GB2312" w:cs="Times New Roman"/>
                <w:sz w:val="20"/>
                <w:szCs w:val="20"/>
                <w:highlight w:val="none"/>
              </w:rPr>
              <w:t>预算部门绩效自评操作规程》要求的，得5分，否则按比例扣除相应的分数。</w:t>
            </w:r>
          </w:p>
          <w:p>
            <w:pPr>
              <w:spacing w:line="240" w:lineRule="auto"/>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部门整体支出和项目支出绩效指标全部细化到三级指标的，得5分；部分细化的，酌情扣分；没有细化的，不得分。</w:t>
            </w:r>
          </w:p>
          <w:p>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3</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部门整体支出和项目支出三级绩效指标内涵明确、具体、可衡量的得5分；突出核心指标，精简实用的得3分；指标与部门整体支出和项目支出密切相关，全面反映产出和效益的得2分；否则，每项酌情扣分，最多扣10分。</w:t>
            </w:r>
          </w:p>
        </w:tc>
      </w:tr>
      <w:tr>
        <w:tblPrEx>
          <w:tblCellMar>
            <w:top w:w="0" w:type="dxa"/>
            <w:left w:w="108" w:type="dxa"/>
            <w:bottom w:w="0" w:type="dxa"/>
            <w:right w:w="108" w:type="dxa"/>
          </w:tblCellMar>
        </w:tblPrEx>
        <w:trPr>
          <w:trHeight w:val="1521"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p>
        </w:tc>
        <w:tc>
          <w:tcPr>
            <w:tcW w:w="1174" w:type="dxa"/>
            <w:tcBorders>
              <w:top w:val="single" w:color="auto" w:sz="4" w:space="0"/>
              <w:left w:val="nil"/>
              <w:bottom w:val="single" w:color="auto" w:sz="4" w:space="0"/>
              <w:right w:val="single" w:color="auto" w:sz="4" w:space="0"/>
            </w:tcBorders>
            <w:noWrap w:val="0"/>
            <w:vAlign w:val="center"/>
          </w:tcPr>
          <w:p>
            <w:pPr>
              <w:jc w:val="center"/>
              <w:rPr>
                <w:rFonts w:hint="default" w:ascii="Times New Roman" w:hAnsi="Times New Roman" w:cs="Times New Roman"/>
                <w:highlight w:val="none"/>
              </w:rPr>
            </w:pPr>
          </w:p>
          <w:p>
            <w:pPr>
              <w:spacing w:line="240" w:lineRule="auto"/>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反映问</w:t>
            </w:r>
          </w:p>
          <w:p>
            <w:pPr>
              <w:spacing w:line="240" w:lineRule="auto"/>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题情况</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（20分）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从预算和预算绩效管理，部门履职效能，资金分配、使用和管理，资产和财务管理，政府采购等方面归纳问题、分析原因全面的，得20分；反映问题、分析原因较全面的，得16—18分；反映问题、分析原因不全面的，得13—15分；问题未归纳且过于简单的，得10—12分；只提出资金不足问题的不得分；其他情况酌情扣分。　</w:t>
            </w:r>
          </w:p>
        </w:tc>
      </w:tr>
      <w:tr>
        <w:tblPrEx>
          <w:tblCellMar>
            <w:top w:w="0" w:type="dxa"/>
            <w:left w:w="108" w:type="dxa"/>
            <w:bottom w:w="0" w:type="dxa"/>
            <w:right w:w="108" w:type="dxa"/>
          </w:tblCellMar>
        </w:tblPrEx>
        <w:trPr>
          <w:trHeight w:val="781"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建议情况</w:t>
            </w:r>
          </w:p>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（15分）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建议与问题对应且全面的得15分，建议比较全面的得12—14分，建议不全面的得9—11分，建议过于简单的得6—8分，只提出加大资金投入建议的不得分；其他情况酌情扣分。</w:t>
            </w:r>
          </w:p>
        </w:tc>
      </w:tr>
      <w:tr>
        <w:tblPrEx>
          <w:tblCellMar>
            <w:top w:w="0" w:type="dxa"/>
            <w:left w:w="108" w:type="dxa"/>
            <w:bottom w:w="0" w:type="dxa"/>
            <w:right w:w="108" w:type="dxa"/>
          </w:tblCellMar>
        </w:tblPrEx>
        <w:trPr>
          <w:trHeight w:val="631" w:hRule="atLeast"/>
          <w:jc w:val="center"/>
        </w:trPr>
        <w:tc>
          <w:tcPr>
            <w:tcW w:w="745"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合计</w:t>
            </w:r>
          </w:p>
        </w:tc>
        <w:tc>
          <w:tcPr>
            <w:tcW w:w="1174"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100分</w:t>
            </w:r>
          </w:p>
        </w:tc>
        <w:tc>
          <w:tcPr>
            <w:tcW w:w="8022"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　</w:t>
            </w:r>
          </w:p>
        </w:tc>
      </w:tr>
    </w:tbl>
    <w:p>
      <w:pPr>
        <w:spacing w:line="20" w:lineRule="exact"/>
        <w:ind w:firstLine="0"/>
        <w:jc w:val="left"/>
        <w:rPr>
          <w:rFonts w:ascii="仿宋_GB2312" w:eastAsia="仿宋_GB2312"/>
          <w:sz w:val="32"/>
          <w:szCs w:val="32"/>
        </w:rPr>
      </w:pPr>
    </w:p>
    <w:p/>
    <w:sectPr>
      <w:footerReference r:id="rId3" w:type="default"/>
      <w:footerReference r:id="rId4" w:type="even"/>
      <w:pgSz w:w="11906" w:h="16838"/>
      <w:pgMar w:top="1587" w:right="1588" w:bottom="1587" w:left="1588"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0"/>
        <w:sz w:val="24"/>
        <w:szCs w:val="24"/>
      </w:rPr>
    </w:pPr>
    <w:r>
      <w:rPr>
        <w:rStyle w:val="10"/>
        <w:rFonts w:hint="eastAsia"/>
        <w:sz w:val="24"/>
        <w:szCs w:val="24"/>
      </w:rPr>
      <w:t xml:space="preserve">— </w:t>
    </w:r>
    <w:r>
      <w:rPr>
        <w:sz w:val="24"/>
        <w:szCs w:val="24"/>
      </w:rPr>
      <w:fldChar w:fldCharType="begin"/>
    </w:r>
    <w:r>
      <w:rPr>
        <w:rStyle w:val="10"/>
        <w:sz w:val="24"/>
        <w:szCs w:val="24"/>
      </w:rPr>
      <w:instrText xml:space="preserve">PAGE  </w:instrText>
    </w:r>
    <w:r>
      <w:rPr>
        <w:sz w:val="24"/>
        <w:szCs w:val="24"/>
      </w:rPr>
      <w:fldChar w:fldCharType="separate"/>
    </w:r>
    <w:r>
      <w:rPr>
        <w:rStyle w:val="10"/>
        <w:sz w:val="24"/>
        <w:szCs w:val="24"/>
      </w:rPr>
      <w:t>1</w:t>
    </w:r>
    <w:r>
      <w:rPr>
        <w:sz w:val="24"/>
        <w:szCs w:val="24"/>
      </w:rPr>
      <w:fldChar w:fldCharType="end"/>
    </w:r>
    <w:r>
      <w:rPr>
        <w:rStyle w:val="10"/>
        <w:rFonts w:hint="eastAsia"/>
        <w:sz w:val="24"/>
        <w:szCs w:val="24"/>
      </w:rPr>
      <w:t xml:space="preserve"> —</w:t>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0"/>
      </w:rPr>
    </w:pPr>
    <w:r>
      <w:fldChar w:fldCharType="begin"/>
    </w:r>
    <w:r>
      <w:rPr>
        <w:rStyle w:val="10"/>
      </w:rPr>
      <w:instrText xml:space="preserve">PAGE  </w:instrText>
    </w:r>
    <w:r>
      <w:fldChar w:fldCharType="end"/>
    </w:r>
  </w:p>
  <w:p>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D75F70"/>
    <w:multiLevelType w:val="singleLevel"/>
    <w:tmpl w:val="D5D75F70"/>
    <w:lvl w:ilvl="0" w:tentative="0">
      <w:start w:val="1"/>
      <w:numFmt w:val="chineseCounting"/>
      <w:suff w:val="nothing"/>
      <w:lvlText w:val="%1、"/>
      <w:lvlJc w:val="left"/>
      <w:rPr>
        <w:rFonts w:hint="eastAsia"/>
      </w:rPr>
    </w:lvl>
  </w:abstractNum>
  <w:abstractNum w:abstractNumId="1">
    <w:nsid w:val="F8619805"/>
    <w:multiLevelType w:val="singleLevel"/>
    <w:tmpl w:val="F8619805"/>
    <w:lvl w:ilvl="0" w:tentative="0">
      <w:start w:val="2"/>
      <w:numFmt w:val="chineseCounting"/>
      <w:suff w:val="nothing"/>
      <w:lvlText w:val="（%1）"/>
      <w:lvlJc w:val="left"/>
      <w:rPr>
        <w:rFonts w:hint="eastAsia"/>
      </w:rPr>
    </w:lvl>
  </w:abstractNum>
  <w:abstractNum w:abstractNumId="2">
    <w:nsid w:val="5DDF8822"/>
    <w:multiLevelType w:val="singleLevel"/>
    <w:tmpl w:val="5DDF8822"/>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wNTBkYTMzZjYyNjcyYmFhYjkxNThkYTdiY2Q4YWMifQ=="/>
  </w:docVars>
  <w:rsids>
    <w:rsidRoot w:val="00000000"/>
    <w:rsid w:val="00150521"/>
    <w:rsid w:val="037D79CF"/>
    <w:rsid w:val="04A85B08"/>
    <w:rsid w:val="0692477C"/>
    <w:rsid w:val="09012917"/>
    <w:rsid w:val="0A13593B"/>
    <w:rsid w:val="0BB418D1"/>
    <w:rsid w:val="0CE71E24"/>
    <w:rsid w:val="0EA02DD1"/>
    <w:rsid w:val="12FC5EFD"/>
    <w:rsid w:val="13930FEF"/>
    <w:rsid w:val="1562473D"/>
    <w:rsid w:val="1585362B"/>
    <w:rsid w:val="174B2FAF"/>
    <w:rsid w:val="198E2915"/>
    <w:rsid w:val="1B5763C6"/>
    <w:rsid w:val="1C972ECE"/>
    <w:rsid w:val="20142AD8"/>
    <w:rsid w:val="20BA2A49"/>
    <w:rsid w:val="21077C5A"/>
    <w:rsid w:val="22AC53B6"/>
    <w:rsid w:val="22AF4D3A"/>
    <w:rsid w:val="22EE41D8"/>
    <w:rsid w:val="23244DE0"/>
    <w:rsid w:val="23A203FB"/>
    <w:rsid w:val="254C4AC2"/>
    <w:rsid w:val="271B5CB9"/>
    <w:rsid w:val="274A27C2"/>
    <w:rsid w:val="27857FE8"/>
    <w:rsid w:val="293A71CD"/>
    <w:rsid w:val="2A6D4A83"/>
    <w:rsid w:val="323E1644"/>
    <w:rsid w:val="325D030E"/>
    <w:rsid w:val="330469DC"/>
    <w:rsid w:val="35100CFF"/>
    <w:rsid w:val="360014EB"/>
    <w:rsid w:val="367B7C6A"/>
    <w:rsid w:val="36BD14D4"/>
    <w:rsid w:val="37F012DD"/>
    <w:rsid w:val="38371D27"/>
    <w:rsid w:val="39186D3D"/>
    <w:rsid w:val="3FD17600"/>
    <w:rsid w:val="402661E4"/>
    <w:rsid w:val="496F0BFB"/>
    <w:rsid w:val="4A5D0D79"/>
    <w:rsid w:val="4D36704D"/>
    <w:rsid w:val="527845E3"/>
    <w:rsid w:val="59D539FF"/>
    <w:rsid w:val="59D73B1D"/>
    <w:rsid w:val="5AE92129"/>
    <w:rsid w:val="5CE328FF"/>
    <w:rsid w:val="5D9D00DB"/>
    <w:rsid w:val="5DD6038E"/>
    <w:rsid w:val="5EF936CE"/>
    <w:rsid w:val="60B212D0"/>
    <w:rsid w:val="60BA67A8"/>
    <w:rsid w:val="60C01AB7"/>
    <w:rsid w:val="642D42B3"/>
    <w:rsid w:val="65C8156E"/>
    <w:rsid w:val="691B590A"/>
    <w:rsid w:val="692D1ABF"/>
    <w:rsid w:val="6ABC0D57"/>
    <w:rsid w:val="6DEC6FCF"/>
    <w:rsid w:val="706F1606"/>
    <w:rsid w:val="712B2221"/>
    <w:rsid w:val="76895249"/>
    <w:rsid w:val="76F96086"/>
    <w:rsid w:val="77234533"/>
    <w:rsid w:val="7A437DDC"/>
    <w:rsid w:val="7BC14128"/>
    <w:rsid w:val="7DBB5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99"/>
    <w:pPr>
      <w:snapToGrid w:val="0"/>
      <w:jc w:val="left"/>
    </w:pPr>
    <w:rPr>
      <w:sz w:val="18"/>
      <w:szCs w:val="18"/>
    </w:rPr>
  </w:style>
  <w:style w:type="paragraph" w:styleId="3">
    <w:name w:val="Normal Indent"/>
    <w:basedOn w:val="1"/>
    <w:qFormat/>
    <w:uiPriority w:val="0"/>
    <w:pPr>
      <w:ind w:firstLine="420" w:firstLineChars="200"/>
    </w:pPr>
    <w:rPr>
      <w:rFonts w:eastAsia="仿宋"/>
      <w:sz w:val="32"/>
      <w:szCs w:val="32"/>
    </w:rPr>
  </w:style>
  <w:style w:type="paragraph" w:styleId="4">
    <w:name w:val="Body Text Indent"/>
    <w:basedOn w:val="1"/>
    <w:qFormat/>
    <w:uiPriority w:val="0"/>
    <w:pPr>
      <w:spacing w:after="120"/>
      <w:ind w:left="420" w:leftChars="200"/>
    </w:pPr>
  </w:style>
  <w:style w:type="paragraph" w:styleId="5">
    <w:name w:val="footer"/>
    <w:basedOn w:val="1"/>
    <w:uiPriority w:val="0"/>
    <w:pPr>
      <w:tabs>
        <w:tab w:val="center" w:pos="4153"/>
        <w:tab w:val="right" w:pos="8306"/>
      </w:tabs>
      <w:snapToGrid w:val="0"/>
      <w:jc w:val="left"/>
    </w:pPr>
    <w:rPr>
      <w:kern w:val="0"/>
      <w:sz w:val="18"/>
      <w:szCs w:val="18"/>
    </w:rPr>
  </w:style>
  <w:style w:type="paragraph" w:styleId="6">
    <w:name w:val="Normal (Web)"/>
    <w:basedOn w:val="1"/>
    <w:unhideWhenUsed/>
    <w:qFormat/>
    <w:uiPriority w:val="0"/>
    <w:pPr>
      <w:spacing w:before="100" w:beforeAutospacing="1" w:after="100" w:afterAutospacing="1"/>
    </w:pPr>
    <w:rPr>
      <w:rFonts w:hint="default" w:ascii="Times New Roman" w:hAnsi="Times New Roman" w:cs="Times New Roman"/>
      <w:sz w:val="24"/>
      <w:szCs w:val="24"/>
      <w:lang w:val="en-US" w:eastAsia="zh-CN" w:bidi="ar"/>
    </w:rPr>
  </w:style>
  <w:style w:type="paragraph" w:styleId="7">
    <w:name w:val="Body Text First Indent 2"/>
    <w:basedOn w:val="4"/>
    <w:qFormat/>
    <w:uiPriority w:val="0"/>
    <w:pPr>
      <w:spacing w:after="0"/>
      <w:ind w:left="0" w:leftChars="0" w:firstLine="420" w:firstLineChars="200"/>
    </w:pPr>
    <w:rPr>
      <w:kern w:val="0"/>
      <w:sz w:val="20"/>
    </w:rPr>
  </w:style>
  <w:style w:type="character" w:styleId="10">
    <w:name w:val="page number"/>
    <w:uiPriority w:val="0"/>
  </w:style>
  <w:style w:type="paragraph" w:styleId="11">
    <w:name w:val="List Paragraph"/>
    <w:basedOn w:val="1"/>
    <w:qFormat/>
    <w:uiPriority w:val="99"/>
    <w:pPr>
      <w:ind w:firstLine="420" w:firstLineChars="200"/>
    </w:pPr>
    <w:rPr>
      <w:rFonts w:ascii="Calibri" w:hAnsi="Calibri"/>
      <w:szCs w:val="22"/>
    </w:rPr>
  </w:style>
  <w:style w:type="character" w:customStyle="1" w:styleId="12">
    <w:name w:val="font11"/>
    <w:basedOn w:val="9"/>
    <w:qFormat/>
    <w:uiPriority w:val="0"/>
    <w:rPr>
      <w:rFonts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15</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402CW</dc:creator>
  <cp:lastModifiedBy>Administrator</cp:lastModifiedBy>
  <cp:lastPrinted>2025-06-20T03:49:23Z</cp:lastPrinted>
  <dcterms:modified xsi:type="dcterms:W3CDTF">2025-06-20T03:55:36Z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KSOTemplateDocerSaveRecord">
    <vt:lpwstr>eyJoZGlkIjoiMTM0OGI2ZmNlODc1OWFkMDY5ZTYwNDcyZmM0YmI2NTYiLCJ1c2VySWQiOiIxMjQwNjc3NzgyIn0=</vt:lpwstr>
  </property>
  <property fmtid="{D5CDD505-2E9C-101B-9397-08002B2CF9AE}" pid="4" name="ICV">
    <vt:lpwstr>47192FF144D24BF094B3DC01E81D25F2_12</vt:lpwstr>
  </property>
</Properties>
</file>