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5"/>
        <w:jc w:val="center"/>
        <w:rPr>
          <w:sz w:val="56"/>
          <w:szCs w:val="56"/>
        </w:rPr>
      </w:pPr>
    </w:p>
    <w:p w14:paraId="3BDF5AB8">
      <w:pPr>
        <w:pStyle w:val="15"/>
        <w:jc w:val="center"/>
        <w:rPr>
          <w:sz w:val="56"/>
          <w:szCs w:val="56"/>
        </w:rPr>
      </w:pPr>
    </w:p>
    <w:p w14:paraId="60CA4575">
      <w:pPr>
        <w:pStyle w:val="15"/>
        <w:jc w:val="center"/>
        <w:rPr>
          <w:sz w:val="84"/>
          <w:szCs w:val="84"/>
        </w:rPr>
      </w:pPr>
    </w:p>
    <w:p w14:paraId="215EB31D">
      <w:pPr>
        <w:pStyle w:val="15"/>
        <w:jc w:val="center"/>
        <w:rPr>
          <w:sz w:val="84"/>
          <w:szCs w:val="84"/>
        </w:rPr>
      </w:pPr>
    </w:p>
    <w:p w14:paraId="376C8602">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4</w:t>
      </w:r>
      <w:r>
        <w:rPr>
          <w:rFonts w:hint="eastAsia" w:ascii="方正小标宋_GBK" w:hAnsi="方正小标宋_GBK" w:eastAsia="方正小标宋_GBK" w:cs="方正小标宋_GBK"/>
          <w:sz w:val="72"/>
          <w:szCs w:val="72"/>
        </w:rPr>
        <w:t>年度</w:t>
      </w:r>
    </w:p>
    <w:p w14:paraId="7B967D21">
      <w:pPr>
        <w:pStyle w:val="15"/>
        <w:jc w:val="center"/>
        <w:rPr>
          <w:rFonts w:hint="eastAsia" w:ascii="方正小标宋_GBK" w:hAnsi="方正小标宋_GBK" w:eastAsia="方正小标宋_GBK" w:cs="方正小标宋_GBK"/>
          <w:sz w:val="72"/>
          <w:szCs w:val="72"/>
          <w:lang w:val="en-US" w:eastAsia="zh-CN"/>
        </w:rPr>
      </w:pPr>
      <w:r>
        <w:rPr>
          <w:rFonts w:hint="eastAsia" w:ascii="方正小标宋_GBK" w:hAnsi="方正小标宋_GBK" w:eastAsia="方正小标宋_GBK" w:cs="方正小标宋_GBK"/>
          <w:sz w:val="72"/>
          <w:szCs w:val="72"/>
          <w:lang w:val="en-US" w:eastAsia="zh-CN"/>
        </w:rPr>
        <w:t>岳阳市农业综合行政执法支队</w:t>
      </w:r>
    </w:p>
    <w:p w14:paraId="6934EBE9">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w:t>
      </w:r>
    </w:p>
    <w:p w14:paraId="3A699C16">
      <w:pPr>
        <w:pStyle w:val="15"/>
        <w:jc w:val="center"/>
        <w:rPr>
          <w:rFonts w:hint="eastAsia" w:ascii="方正小标宋_GBK" w:hAnsi="方正小标宋_GBK" w:eastAsia="方正小标宋_GBK" w:cs="方正小标宋_GBK"/>
          <w:sz w:val="56"/>
          <w:szCs w:val="56"/>
        </w:rPr>
      </w:pPr>
    </w:p>
    <w:p w14:paraId="72C8FB58">
      <w:pPr>
        <w:pStyle w:val="15"/>
        <w:jc w:val="center"/>
        <w:rPr>
          <w:sz w:val="56"/>
          <w:szCs w:val="56"/>
        </w:rPr>
      </w:pPr>
    </w:p>
    <w:p w14:paraId="25018D25">
      <w:pPr>
        <w:pStyle w:val="15"/>
        <w:jc w:val="center"/>
        <w:rPr>
          <w:sz w:val="56"/>
          <w:szCs w:val="56"/>
        </w:rPr>
      </w:pPr>
    </w:p>
    <w:p w14:paraId="5EE73A38">
      <w:pPr>
        <w:pStyle w:val="15"/>
        <w:jc w:val="center"/>
        <w:rPr>
          <w:sz w:val="56"/>
          <w:szCs w:val="56"/>
        </w:rPr>
      </w:pPr>
    </w:p>
    <w:p w14:paraId="297571C5">
      <w:pPr>
        <w:pStyle w:val="15"/>
        <w:jc w:val="center"/>
        <w:rPr>
          <w:sz w:val="32"/>
          <w:szCs w:val="32"/>
        </w:rPr>
      </w:pPr>
    </w:p>
    <w:p w14:paraId="08493D1E">
      <w:pPr>
        <w:pStyle w:val="15"/>
        <w:jc w:val="center"/>
        <w:rPr>
          <w:sz w:val="32"/>
          <w:szCs w:val="32"/>
        </w:rPr>
      </w:pPr>
    </w:p>
    <w:p w14:paraId="5BD6E8BD">
      <w:pPr>
        <w:pStyle w:val="15"/>
        <w:jc w:val="center"/>
        <w:rPr>
          <w:sz w:val="32"/>
          <w:szCs w:val="32"/>
        </w:rPr>
      </w:pPr>
    </w:p>
    <w:p w14:paraId="1062A3B4">
      <w:pPr>
        <w:pStyle w:val="15"/>
        <w:jc w:val="center"/>
        <w:rPr>
          <w:sz w:val="32"/>
          <w:szCs w:val="32"/>
        </w:rPr>
      </w:pPr>
    </w:p>
    <w:p w14:paraId="6311DFC7">
      <w:pPr>
        <w:pStyle w:val="15"/>
        <w:jc w:val="center"/>
        <w:rPr>
          <w:sz w:val="32"/>
          <w:szCs w:val="32"/>
        </w:rPr>
      </w:pPr>
    </w:p>
    <w:p w14:paraId="50228290">
      <w:pPr>
        <w:pStyle w:val="15"/>
        <w:spacing w:line="540" w:lineRule="exact"/>
        <w:jc w:val="center"/>
        <w:rPr>
          <w:sz w:val="56"/>
          <w:szCs w:val="56"/>
        </w:rPr>
      </w:pPr>
    </w:p>
    <w:p w14:paraId="459C483D">
      <w:pPr>
        <w:pStyle w:val="15"/>
        <w:spacing w:line="500" w:lineRule="exact"/>
        <w:jc w:val="both"/>
        <w:rPr>
          <w:b/>
          <w:sz w:val="36"/>
          <w:szCs w:val="28"/>
        </w:rPr>
      </w:pPr>
    </w:p>
    <w:p w14:paraId="24F3309B">
      <w:pPr>
        <w:pStyle w:val="15"/>
        <w:spacing w:line="500" w:lineRule="exact"/>
        <w:jc w:val="center"/>
        <w:rPr>
          <w:b/>
          <w:sz w:val="36"/>
          <w:szCs w:val="28"/>
        </w:rPr>
      </w:pPr>
      <w:r>
        <w:rPr>
          <w:rFonts w:hint="eastAsia"/>
          <w:b/>
          <w:sz w:val="36"/>
          <w:szCs w:val="28"/>
        </w:rPr>
        <w:t>目录</w:t>
      </w:r>
    </w:p>
    <w:p w14:paraId="6CBD0C22">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岳阳市农业综合行政执法支队</w:t>
      </w:r>
      <w:r>
        <w:rPr>
          <w:rFonts w:hint="eastAsia" w:ascii="黑体" w:hAnsi="黑体" w:eastAsia="黑体" w:cs="黑体"/>
          <w:b w:val="0"/>
          <w:bCs/>
          <w:sz w:val="28"/>
          <w:szCs w:val="28"/>
        </w:rPr>
        <w:t>概况</w:t>
      </w:r>
    </w:p>
    <w:p w14:paraId="060CB1DC">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5"/>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5"/>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5"/>
        <w:jc w:val="center"/>
        <w:rPr>
          <w:rFonts w:hint="eastAsia" w:ascii="方正小标宋_GBK" w:hAnsi="方正小标宋_GBK" w:eastAsia="方正小标宋_GBK" w:cs="方正小标宋_GBK"/>
          <w:sz w:val="84"/>
          <w:szCs w:val="84"/>
        </w:rPr>
      </w:pPr>
    </w:p>
    <w:p w14:paraId="1095DEAB">
      <w:pPr>
        <w:pStyle w:val="15"/>
        <w:jc w:val="center"/>
        <w:rPr>
          <w:rFonts w:hint="eastAsia" w:ascii="方正小标宋_GBK" w:hAnsi="方正小标宋_GBK" w:eastAsia="方正小标宋_GBK" w:cs="方正小标宋_GBK"/>
          <w:sz w:val="84"/>
          <w:szCs w:val="84"/>
        </w:rPr>
      </w:pPr>
    </w:p>
    <w:p w14:paraId="0DEEC249">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5"/>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lang w:val="en-US" w:eastAsia="zh-CN"/>
        </w:rPr>
        <w:t>岳阳市农业综合行政执法支队</w:t>
      </w:r>
      <w:r>
        <w:rPr>
          <w:rFonts w:hint="eastAsia" w:ascii="方正小标宋_GBK" w:hAnsi="方正小标宋_GBK" w:eastAsia="方正小标宋_GBK" w:cs="方正小标宋_GBK"/>
          <w:sz w:val="72"/>
          <w:szCs w:val="72"/>
        </w:rPr>
        <w:t>概况</w:t>
      </w:r>
    </w:p>
    <w:p w14:paraId="77A0C778">
      <w:pPr>
        <w:pStyle w:val="2"/>
        <w:rPr>
          <w:rFonts w:hint="eastAsia" w:ascii="方正小标宋_GBK" w:hAnsi="方正小标宋_GBK" w:eastAsia="方正小标宋_GBK" w:cs="方正小标宋_GBK"/>
          <w:sz w:val="84"/>
          <w:szCs w:val="84"/>
        </w:rPr>
      </w:pPr>
    </w:p>
    <w:p w14:paraId="397AC3FB">
      <w:pPr>
        <w:pStyle w:val="6"/>
        <w:rPr>
          <w:rFonts w:hint="eastAsia" w:ascii="方正小标宋_GBK" w:hAnsi="方正小标宋_GBK" w:eastAsia="方正小标宋_GBK" w:cs="方正小标宋_GBK"/>
          <w:sz w:val="84"/>
          <w:szCs w:val="84"/>
        </w:rPr>
      </w:pPr>
    </w:p>
    <w:p w14:paraId="1469560B">
      <w:pPr>
        <w:pStyle w:val="6"/>
        <w:ind w:left="0" w:leftChars="0" w:firstLine="0" w:firstLineChars="0"/>
        <w:rPr>
          <w:rFonts w:hint="eastAsia" w:ascii="方正小标宋_GBK" w:hAnsi="方正小标宋_GBK" w:eastAsia="方正小标宋_GBK" w:cs="方正小标宋_GBK"/>
          <w:sz w:val="32"/>
          <w:szCs w:val="32"/>
        </w:rPr>
      </w:pPr>
    </w:p>
    <w:p w14:paraId="79BE3651">
      <w:pPr>
        <w:rPr>
          <w:rFonts w:hint="eastAsia" w:ascii="方正小标宋_GBK" w:hAnsi="方正小标宋_GBK" w:eastAsia="方正小标宋_GBK" w:cs="方正小标宋_GBK"/>
          <w:sz w:val="32"/>
          <w:szCs w:val="32"/>
        </w:rPr>
      </w:pPr>
    </w:p>
    <w:p w14:paraId="24D980E5">
      <w:pPr>
        <w:pStyle w:val="2"/>
        <w:rPr>
          <w:rFonts w:hint="eastAsia" w:ascii="方正小标宋_GBK" w:hAnsi="方正小标宋_GBK" w:eastAsia="方正小标宋_GBK" w:cs="方正小标宋_GBK"/>
          <w:sz w:val="32"/>
          <w:szCs w:val="32"/>
        </w:rPr>
      </w:pPr>
    </w:p>
    <w:p w14:paraId="4E01B6FD">
      <w:pPr>
        <w:pStyle w:val="6"/>
        <w:rPr>
          <w:rFonts w:hint="eastAsia"/>
        </w:rPr>
      </w:pPr>
    </w:p>
    <w:p w14:paraId="55E857AF">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E43C934">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6"/>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w:t>
      </w:r>
      <w:r>
        <w:rPr>
          <w:rFonts w:hint="eastAsia" w:ascii="仿宋_GB2312" w:hAnsi="仿宋_GB2312" w:eastAsia="仿宋_GB2312" w:cs="仿宋"/>
          <w:b w:val="0"/>
          <w:bCs w:val="0"/>
          <w:color w:val="auto"/>
          <w:kern w:val="0"/>
          <w:sz w:val="32"/>
          <w:szCs w:val="32"/>
          <w:u w:val="none"/>
        </w:rPr>
        <w:t>湘办〔202</w:t>
      </w:r>
      <w:r>
        <w:rPr>
          <w:rFonts w:hint="eastAsia" w:ascii="仿宋_GB2312" w:hAnsi="仿宋_GB2312" w:eastAsia="仿宋_GB2312" w:cs="仿宋"/>
          <w:b w:val="0"/>
          <w:bCs w:val="0"/>
          <w:color w:val="auto"/>
          <w:kern w:val="0"/>
          <w:sz w:val="32"/>
          <w:szCs w:val="32"/>
          <w:u w:val="none"/>
          <w:lang w:val="en-US" w:eastAsia="zh-CN"/>
        </w:rPr>
        <w:t>4</w:t>
      </w:r>
      <w:r>
        <w:rPr>
          <w:rFonts w:hint="eastAsia" w:ascii="仿宋_GB2312" w:hAnsi="仿宋_GB2312" w:eastAsia="仿宋_GB2312" w:cs="仿宋"/>
          <w:b w:val="0"/>
          <w:bCs w:val="0"/>
          <w:color w:val="auto"/>
          <w:kern w:val="0"/>
          <w:sz w:val="32"/>
          <w:szCs w:val="32"/>
          <w:u w:val="none"/>
        </w:rPr>
        <w:t>〕2</w:t>
      </w:r>
      <w:r>
        <w:rPr>
          <w:rFonts w:hint="eastAsia" w:ascii="仿宋_GB2312" w:hAnsi="仿宋_GB2312" w:eastAsia="仿宋_GB2312" w:cs="仿宋"/>
          <w:b w:val="0"/>
          <w:bCs w:val="0"/>
          <w:color w:val="auto"/>
          <w:kern w:val="0"/>
          <w:sz w:val="32"/>
          <w:szCs w:val="32"/>
          <w:u w:val="none"/>
          <w:lang w:val="en-US" w:eastAsia="zh-CN"/>
        </w:rPr>
        <w:t>0</w:t>
      </w:r>
      <w:r>
        <w:rPr>
          <w:rFonts w:hint="eastAsia" w:ascii="仿宋_GB2312" w:hAnsi="仿宋_GB2312" w:eastAsia="仿宋_GB2312" w:cs="仿宋"/>
          <w:b w:val="0"/>
          <w:bCs w:val="0"/>
          <w:color w:val="auto"/>
          <w:kern w:val="0"/>
          <w:sz w:val="32"/>
          <w:szCs w:val="32"/>
          <w:u w:val="none"/>
        </w:rPr>
        <w:t>号</w:t>
      </w:r>
      <w:r>
        <w:rPr>
          <w:rFonts w:hint="eastAsia" w:ascii="仿宋_GB2312" w:hAnsi="仿宋_GB2312" w:eastAsia="仿宋_GB2312" w:cs="仿宋_GB2312"/>
          <w:color w:val="000000"/>
          <w:kern w:val="0"/>
          <w:sz w:val="32"/>
          <w:szCs w:val="32"/>
          <w:lang w:val="en-US" w:eastAsia="zh-CN" w:bidi="ar-SA"/>
        </w:rPr>
        <w:t>，我单位主要职责如下：</w:t>
      </w:r>
    </w:p>
    <w:p w14:paraId="3003EDFD">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6"/>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贯彻执行国家</w:t>
      </w:r>
      <w:r>
        <w:rPr>
          <w:rFonts w:hint="default" w:ascii="仿宋_GB2312" w:hAnsi="仿宋_GB2312" w:eastAsia="仿宋_GB2312" w:cs="仿宋_GB2312"/>
          <w:color w:val="auto"/>
          <w:sz w:val="32"/>
          <w:szCs w:val="32"/>
          <w:lang w:val="en"/>
        </w:rPr>
        <w:t>、省、市和上级农业农村主管部门</w:t>
      </w:r>
      <w:r>
        <w:rPr>
          <w:rFonts w:hint="eastAsia" w:ascii="仿宋_GB2312" w:hAnsi="仿宋_GB2312" w:eastAsia="仿宋_GB2312" w:cs="仿宋_GB2312"/>
          <w:color w:val="auto"/>
          <w:sz w:val="32"/>
          <w:szCs w:val="32"/>
        </w:rPr>
        <w:t>有关农业农村方面的法律、法规、规章和政策规定；</w:t>
      </w:r>
      <w:r>
        <w:rPr>
          <w:rFonts w:hint="eastAsia" w:ascii="仿宋_GB2312" w:hAnsi="仿宋_GB2312" w:eastAsia="仿宋_GB2312" w:cs="仿宋_GB2312"/>
          <w:color w:val="auto"/>
          <w:sz w:val="32"/>
          <w:szCs w:val="32"/>
          <w:lang w:val="en-US" w:eastAsia="zh-CN"/>
        </w:rPr>
        <w:t>参与拟订</w:t>
      </w:r>
      <w:r>
        <w:rPr>
          <w:rFonts w:hint="eastAsia" w:ascii="仿宋_GB2312" w:hAnsi="仿宋_GB2312" w:eastAsia="仿宋_GB2312" w:cs="仿宋_GB2312"/>
          <w:color w:val="auto"/>
          <w:sz w:val="32"/>
          <w:szCs w:val="32"/>
        </w:rPr>
        <w:t>全市农业综合行政执法工作方面的规范性文件、总体规划和年度计划，并组织实施。</w:t>
      </w:r>
    </w:p>
    <w:p w14:paraId="67253556">
      <w:pPr>
        <w:pStyle w:val="10"/>
        <w:keepNext w:val="0"/>
        <w:keepLines/>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6"/>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lang w:val="en-US" w:eastAsia="zh-CN"/>
        </w:rPr>
        <w:t>承担</w:t>
      </w:r>
      <w:r>
        <w:rPr>
          <w:rFonts w:hint="eastAsia" w:ascii="仿宋_GB2312" w:hAnsi="仿宋_GB2312" w:eastAsia="仿宋_GB2312" w:cs="仿宋_GB2312"/>
          <w:color w:val="auto"/>
          <w:sz w:val="32"/>
          <w:szCs w:val="32"/>
          <w:lang w:eastAsia="zh-CN"/>
        </w:rPr>
        <w:t>市</w:t>
      </w:r>
      <w:r>
        <w:rPr>
          <w:rFonts w:hint="default" w:ascii="仿宋_GB2312" w:hAnsi="仿宋_GB2312" w:eastAsia="仿宋_GB2312" w:cs="仿宋_GB2312"/>
          <w:color w:val="auto"/>
          <w:sz w:val="32"/>
          <w:szCs w:val="32"/>
          <w:lang w:val="en" w:eastAsia="zh-CN"/>
        </w:rPr>
        <w:t>本级</w:t>
      </w:r>
      <w:r>
        <w:rPr>
          <w:rFonts w:hint="eastAsia" w:ascii="仿宋_GB2312" w:hAnsi="仿宋_GB2312" w:eastAsia="仿宋_GB2312" w:cs="仿宋_GB2312"/>
          <w:color w:val="auto"/>
          <w:sz w:val="32"/>
          <w:szCs w:val="32"/>
          <w:lang w:eastAsia="zh-CN"/>
        </w:rPr>
        <w:t>和市辖区范围内（含岳阳经济技术开发区、南湖新区和城陵矶新港区）的农业综合行政执法工作</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US" w:eastAsia="zh-CN"/>
        </w:rPr>
        <w:t>承担</w:t>
      </w:r>
      <w:r>
        <w:rPr>
          <w:rFonts w:hint="eastAsia" w:ascii="仿宋_GB2312" w:hAnsi="仿宋_GB2312" w:eastAsia="仿宋_GB2312" w:cs="仿宋_GB2312"/>
          <w:color w:val="auto"/>
          <w:sz w:val="32"/>
          <w:szCs w:val="32"/>
        </w:rPr>
        <w:t>对县</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lang w:val="en-US" w:eastAsia="zh-CN"/>
        </w:rPr>
        <w:t>屈原管理区</w:t>
      </w:r>
      <w:r>
        <w:rPr>
          <w:rFonts w:hint="eastAsia" w:ascii="仿宋_GB2312" w:hAnsi="仿宋_GB2312" w:eastAsia="仿宋_GB2312" w:cs="仿宋_GB2312"/>
          <w:color w:val="auto"/>
          <w:sz w:val="32"/>
          <w:szCs w:val="32"/>
        </w:rPr>
        <w:t>农业综合行政执法工作</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lang w:val="en-US" w:eastAsia="zh-CN"/>
        </w:rPr>
        <w:t>业务</w:t>
      </w:r>
      <w:r>
        <w:rPr>
          <w:rFonts w:hint="eastAsia" w:ascii="仿宋_GB2312" w:hAnsi="仿宋_GB2312" w:eastAsia="仿宋_GB2312" w:cs="仿宋_GB2312"/>
          <w:color w:val="auto"/>
          <w:sz w:val="32"/>
          <w:szCs w:val="32"/>
        </w:rPr>
        <w:t>指导、协调、监督和考核</w:t>
      </w:r>
      <w:r>
        <w:rPr>
          <w:rFonts w:hint="default" w:ascii="仿宋_GB2312" w:hAnsi="仿宋_GB2312" w:eastAsia="仿宋_GB2312" w:cs="仿宋_GB2312"/>
          <w:color w:val="auto"/>
          <w:sz w:val="32"/>
          <w:szCs w:val="32"/>
          <w:lang w:val="en"/>
        </w:rPr>
        <w:t>等工作</w:t>
      </w:r>
      <w:r>
        <w:rPr>
          <w:rFonts w:hint="eastAsia" w:ascii="仿宋_GB2312" w:hAnsi="仿宋_GB2312" w:eastAsia="仿宋_GB2312" w:cs="仿宋_GB2312"/>
          <w:color w:val="auto"/>
          <w:sz w:val="32"/>
          <w:szCs w:val="32"/>
        </w:rPr>
        <w:t>。</w:t>
      </w:r>
    </w:p>
    <w:p w14:paraId="13849BEA">
      <w:pPr>
        <w:keepNext w:val="0"/>
        <w:keepLines w:val="0"/>
        <w:pageBreakBefore w:val="0"/>
        <w:widowControl w:val="0"/>
        <w:tabs>
          <w:tab w:val="left" w:pos="1534"/>
        </w:tabs>
        <w:kinsoku/>
        <w:wordWrap/>
        <w:overflowPunct/>
        <w:topLinePunct w:val="0"/>
        <w:autoSpaceDE/>
        <w:autoSpaceDN/>
        <w:bidi w:val="0"/>
        <w:adjustRightInd/>
        <w:snapToGrid/>
        <w:spacing w:beforeAutospacing="0"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lang w:val="en-US" w:eastAsia="zh-CN"/>
        </w:rPr>
        <w:t>承担</w:t>
      </w:r>
      <w:r>
        <w:rPr>
          <w:rFonts w:hint="eastAsia" w:ascii="仿宋_GB2312" w:hAnsi="仿宋_GB2312" w:eastAsia="仿宋_GB2312" w:cs="仿宋_GB2312"/>
          <w:color w:val="auto"/>
          <w:sz w:val="32"/>
          <w:szCs w:val="32"/>
        </w:rPr>
        <w:t>全市农业重大复杂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跨</w:t>
      </w:r>
      <w:r>
        <w:rPr>
          <w:rFonts w:hint="eastAsia" w:ascii="仿宋_GB2312" w:hAnsi="仿宋_GB2312" w:eastAsia="仿宋_GB2312" w:cs="仿宋_GB2312"/>
          <w:color w:val="auto"/>
          <w:sz w:val="32"/>
          <w:szCs w:val="32"/>
          <w:lang w:val="en-US" w:eastAsia="zh-CN"/>
        </w:rPr>
        <w:t>区域</w:t>
      </w:r>
      <w:r>
        <w:rPr>
          <w:rFonts w:hint="eastAsia" w:ascii="仿宋_GB2312" w:hAnsi="仿宋_GB2312" w:eastAsia="仿宋_GB2312" w:cs="仿宋_GB2312"/>
          <w:color w:val="auto"/>
          <w:sz w:val="32"/>
          <w:szCs w:val="32"/>
        </w:rPr>
        <w:t>违法案件的查处；组织或配合</w:t>
      </w:r>
      <w:r>
        <w:rPr>
          <w:rFonts w:hint="eastAsia" w:ascii="仿宋_GB2312" w:hAnsi="仿宋_GB2312" w:eastAsia="仿宋_GB2312" w:cs="仿宋_GB2312"/>
          <w:color w:val="auto"/>
          <w:sz w:val="32"/>
          <w:szCs w:val="32"/>
          <w:lang w:val="en-US" w:eastAsia="zh-CN"/>
        </w:rPr>
        <w:t>开展</w:t>
      </w:r>
      <w:r>
        <w:rPr>
          <w:rFonts w:hint="eastAsia" w:ascii="仿宋_GB2312" w:hAnsi="仿宋_GB2312" w:eastAsia="仿宋_GB2312" w:cs="仿宋_GB2312"/>
          <w:color w:val="auto"/>
          <w:sz w:val="32"/>
          <w:szCs w:val="32"/>
        </w:rPr>
        <w:t>农业联合执法行动；依法查处上级交办、相关部门移送、下级移</w:t>
      </w:r>
      <w:r>
        <w:rPr>
          <w:rFonts w:hint="eastAsia" w:ascii="仿宋_GB2312" w:hAnsi="仿宋_GB2312" w:eastAsia="仿宋_GB2312" w:cs="仿宋_GB2312"/>
          <w:color w:val="auto"/>
          <w:sz w:val="32"/>
          <w:szCs w:val="32"/>
          <w:lang w:eastAsia="zh-CN"/>
        </w:rPr>
        <w:t>送</w:t>
      </w:r>
      <w:r>
        <w:rPr>
          <w:rFonts w:hint="eastAsia" w:ascii="仿宋_GB2312" w:hAnsi="仿宋_GB2312" w:eastAsia="仿宋_GB2312" w:cs="仿宋_GB2312"/>
          <w:color w:val="auto"/>
          <w:sz w:val="32"/>
          <w:szCs w:val="32"/>
        </w:rPr>
        <w:t>及群众投诉举报的违法案件。</w:t>
      </w:r>
    </w:p>
    <w:p w14:paraId="5E544595">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645"/>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lang w:val="en-US" w:eastAsia="zh-CN"/>
        </w:rPr>
        <w:t>承担</w:t>
      </w:r>
      <w:r>
        <w:rPr>
          <w:rFonts w:hint="default" w:ascii="仿宋_GB2312" w:hAnsi="仿宋_GB2312" w:eastAsia="仿宋_GB2312" w:cs="仿宋_GB2312"/>
          <w:color w:val="auto"/>
          <w:sz w:val="32"/>
          <w:szCs w:val="32"/>
          <w:lang w:val="en" w:eastAsia="zh-CN"/>
        </w:rPr>
        <w:t>权限范围</w:t>
      </w:r>
      <w:r>
        <w:rPr>
          <w:rFonts w:hint="eastAsia" w:ascii="仿宋_GB2312" w:hAnsi="仿宋_GB2312" w:eastAsia="仿宋_GB2312" w:cs="仿宋_GB2312"/>
          <w:color w:val="auto"/>
          <w:sz w:val="32"/>
          <w:szCs w:val="32"/>
          <w:lang w:val="en-US" w:eastAsia="zh-CN"/>
        </w:rPr>
        <w:t>内</w:t>
      </w:r>
      <w:r>
        <w:rPr>
          <w:rFonts w:hint="eastAsia" w:ascii="仿宋_GB2312" w:hAnsi="仿宋_GB2312" w:eastAsia="仿宋_GB2312" w:cs="仿宋_GB2312"/>
          <w:color w:val="auto"/>
          <w:sz w:val="32"/>
          <w:szCs w:val="32"/>
        </w:rPr>
        <w:t>种子、肥料、农药、耕地质量、植物检疫、</w:t>
      </w:r>
      <w:r>
        <w:rPr>
          <w:rFonts w:hint="eastAsia" w:ascii="仿宋_GB2312" w:hAnsi="仿宋_GB2312" w:eastAsia="仿宋_GB2312" w:cs="仿宋_GB2312"/>
          <w:color w:val="auto"/>
          <w:sz w:val="32"/>
          <w:szCs w:val="32"/>
          <w:highlight w:val="none"/>
          <w:lang w:val="en-US" w:eastAsia="zh-CN"/>
        </w:rPr>
        <w:t>农业</w:t>
      </w:r>
      <w:r>
        <w:rPr>
          <w:rFonts w:hint="eastAsia" w:ascii="仿宋_GB2312" w:hAnsi="仿宋_GB2312" w:eastAsia="仿宋_GB2312" w:cs="仿宋_GB2312"/>
          <w:color w:val="auto"/>
          <w:sz w:val="32"/>
          <w:szCs w:val="32"/>
        </w:rPr>
        <w:t>转基因生物安全、农业工程项目招投标</w:t>
      </w:r>
      <w:r>
        <w:rPr>
          <w:rFonts w:hint="eastAsia" w:ascii="仿宋_GB2312" w:hAnsi="仿宋_GB2312" w:eastAsia="仿宋_GB2312" w:cs="仿宋_GB2312"/>
          <w:color w:val="auto"/>
          <w:sz w:val="32"/>
          <w:szCs w:val="32"/>
          <w:lang w:val="en-US" w:eastAsia="zh-CN"/>
        </w:rPr>
        <w:t>监管、</w:t>
      </w:r>
      <w:r>
        <w:rPr>
          <w:rFonts w:hint="eastAsia" w:ascii="仿宋_GB2312" w:hAnsi="仿宋_GB2312" w:eastAsia="仿宋_GB2312" w:cs="仿宋_GB2312"/>
          <w:color w:val="auto"/>
          <w:sz w:val="32"/>
          <w:szCs w:val="32"/>
          <w:highlight w:val="none"/>
          <w:lang w:val="en-US" w:eastAsia="zh-CN"/>
        </w:rPr>
        <w:t>农业机械</w:t>
      </w:r>
      <w:r>
        <w:rPr>
          <w:rFonts w:hint="eastAsia" w:ascii="仿宋_GB2312" w:hAnsi="仿宋_GB2312" w:eastAsia="仿宋_GB2312" w:cs="仿宋_GB2312"/>
          <w:color w:val="auto"/>
          <w:sz w:val="32"/>
          <w:szCs w:val="32"/>
        </w:rPr>
        <w:t>方面的</w:t>
      </w:r>
      <w:r>
        <w:rPr>
          <w:rFonts w:hint="eastAsia" w:ascii="仿宋_GB2312" w:hAnsi="仿宋_GB2312" w:eastAsia="仿宋_GB2312" w:cs="仿宋_GB2312"/>
          <w:color w:val="auto"/>
          <w:sz w:val="32"/>
          <w:szCs w:val="32"/>
          <w:lang w:val="en-US" w:eastAsia="zh-CN"/>
        </w:rPr>
        <w:t>农业</w:t>
      </w:r>
      <w:r>
        <w:rPr>
          <w:rFonts w:hint="eastAsia" w:ascii="仿宋_GB2312" w:hAnsi="仿宋_GB2312" w:eastAsia="仿宋_GB2312" w:cs="仿宋_GB2312"/>
          <w:color w:val="auto"/>
          <w:sz w:val="32"/>
          <w:szCs w:val="32"/>
        </w:rPr>
        <w:t>行政执法工作</w:t>
      </w:r>
      <w:r>
        <w:rPr>
          <w:rFonts w:hint="eastAsia" w:ascii="仿宋_GB2312" w:hAnsi="仿宋_GB2312" w:eastAsia="仿宋_GB2312" w:cs="仿宋_GB2312"/>
          <w:color w:val="auto"/>
          <w:sz w:val="32"/>
          <w:szCs w:val="32"/>
          <w:lang w:eastAsia="zh-CN"/>
        </w:rPr>
        <w:t>。</w:t>
      </w:r>
    </w:p>
    <w:p w14:paraId="33DF1F9A">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645"/>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lang w:val="en-US" w:eastAsia="zh-CN"/>
        </w:rPr>
        <w:t>承担</w:t>
      </w:r>
      <w:r>
        <w:rPr>
          <w:rFonts w:hint="default" w:ascii="仿宋_GB2312" w:hAnsi="仿宋_GB2312" w:eastAsia="仿宋_GB2312" w:cs="仿宋_GB2312"/>
          <w:color w:val="auto"/>
          <w:sz w:val="32"/>
          <w:szCs w:val="32"/>
          <w:lang w:val="en" w:eastAsia="zh-CN"/>
        </w:rPr>
        <w:t>权限范围</w:t>
      </w:r>
      <w:r>
        <w:rPr>
          <w:rFonts w:hint="eastAsia" w:ascii="仿宋_GB2312" w:hAnsi="仿宋_GB2312" w:eastAsia="仿宋_GB2312" w:cs="仿宋_GB2312"/>
          <w:color w:val="auto"/>
          <w:sz w:val="32"/>
          <w:szCs w:val="32"/>
          <w:lang w:val="en-US" w:eastAsia="zh-CN"/>
        </w:rPr>
        <w:t>内</w:t>
      </w:r>
      <w:r>
        <w:rPr>
          <w:rFonts w:hint="eastAsia" w:ascii="仿宋_GB2312" w:hAnsi="仿宋_GB2312" w:eastAsia="仿宋_GB2312" w:cs="仿宋_GB2312"/>
          <w:color w:val="auto"/>
          <w:sz w:val="32"/>
          <w:szCs w:val="32"/>
        </w:rPr>
        <w:t>渔业渔政方面的</w:t>
      </w:r>
      <w:r>
        <w:rPr>
          <w:rFonts w:hint="eastAsia" w:ascii="仿宋_GB2312" w:hAnsi="仿宋_GB2312" w:eastAsia="仿宋_GB2312" w:cs="仿宋_GB2312"/>
          <w:color w:val="auto"/>
          <w:sz w:val="32"/>
          <w:szCs w:val="32"/>
          <w:lang w:val="en-US" w:eastAsia="zh-CN"/>
        </w:rPr>
        <w:t>农业</w:t>
      </w:r>
      <w:r>
        <w:rPr>
          <w:rFonts w:hint="eastAsia" w:ascii="仿宋_GB2312" w:hAnsi="仿宋_GB2312" w:eastAsia="仿宋_GB2312" w:cs="仿宋_GB2312"/>
          <w:color w:val="auto"/>
          <w:sz w:val="32"/>
          <w:szCs w:val="32"/>
        </w:rPr>
        <w:t>行政执法工作</w:t>
      </w:r>
      <w:r>
        <w:rPr>
          <w:rFonts w:hint="eastAsia" w:ascii="仿宋_GB2312" w:hAnsi="仿宋_GB2312" w:eastAsia="仿宋_GB2312" w:cs="仿宋_GB2312"/>
          <w:color w:val="auto"/>
          <w:sz w:val="32"/>
          <w:szCs w:val="32"/>
          <w:lang w:eastAsia="zh-CN"/>
        </w:rPr>
        <w:t>。</w:t>
      </w:r>
    </w:p>
    <w:p w14:paraId="0DE74FE9">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645"/>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lang w:val="en-US" w:eastAsia="zh-CN"/>
        </w:rPr>
        <w:t>承担</w:t>
      </w:r>
      <w:r>
        <w:rPr>
          <w:rFonts w:hint="default" w:ascii="仿宋_GB2312" w:hAnsi="仿宋_GB2312" w:eastAsia="仿宋_GB2312" w:cs="仿宋_GB2312"/>
          <w:color w:val="auto"/>
          <w:sz w:val="32"/>
          <w:szCs w:val="32"/>
          <w:lang w:val="en" w:eastAsia="zh-CN"/>
        </w:rPr>
        <w:t>权限范围</w:t>
      </w:r>
      <w:r>
        <w:rPr>
          <w:rFonts w:hint="eastAsia" w:ascii="仿宋_GB2312" w:hAnsi="仿宋_GB2312" w:eastAsia="仿宋_GB2312" w:cs="仿宋_GB2312"/>
          <w:color w:val="auto"/>
          <w:sz w:val="32"/>
          <w:szCs w:val="32"/>
          <w:lang w:val="en-US" w:eastAsia="zh-CN"/>
        </w:rPr>
        <w:t>内</w:t>
      </w:r>
      <w:r>
        <w:rPr>
          <w:rFonts w:hint="eastAsia" w:ascii="仿宋_GB2312" w:hAnsi="仿宋_GB2312" w:eastAsia="仿宋_GB2312" w:cs="仿宋_GB2312"/>
          <w:color w:val="auto"/>
          <w:sz w:val="32"/>
          <w:szCs w:val="32"/>
        </w:rPr>
        <w:t>生猪屠宰、畜牧兽医、动物防疫</w:t>
      </w:r>
      <w:r>
        <w:rPr>
          <w:rFonts w:hint="eastAsia" w:ascii="仿宋_GB2312" w:hAnsi="仿宋_GB2312" w:eastAsia="仿宋_GB2312" w:cs="仿宋_GB2312"/>
          <w:color w:val="auto"/>
          <w:sz w:val="32"/>
          <w:szCs w:val="32"/>
          <w:highlight w:val="none"/>
          <w:lang w:val="en-US" w:eastAsia="zh-CN"/>
        </w:rPr>
        <w:t>检疫</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病死动物及动物产品无害化处理、</w:t>
      </w:r>
      <w:r>
        <w:rPr>
          <w:rFonts w:hint="eastAsia" w:ascii="仿宋_GB2312" w:hAnsi="仿宋_GB2312" w:eastAsia="仿宋_GB2312" w:cs="仿宋_GB2312"/>
          <w:color w:val="auto"/>
          <w:sz w:val="32"/>
          <w:szCs w:val="32"/>
        </w:rPr>
        <w:t>兽药、饲料和饲料添加剂、农产品质量安全方面的</w:t>
      </w:r>
      <w:r>
        <w:rPr>
          <w:rFonts w:hint="eastAsia" w:ascii="仿宋_GB2312" w:hAnsi="仿宋_GB2312" w:eastAsia="仿宋_GB2312" w:cs="仿宋_GB2312"/>
          <w:color w:val="auto"/>
          <w:sz w:val="32"/>
          <w:szCs w:val="32"/>
          <w:lang w:val="en-US" w:eastAsia="zh-CN"/>
        </w:rPr>
        <w:t>农业</w:t>
      </w:r>
      <w:r>
        <w:rPr>
          <w:rFonts w:hint="eastAsia" w:ascii="仿宋_GB2312" w:hAnsi="仿宋_GB2312" w:eastAsia="仿宋_GB2312" w:cs="仿宋_GB2312"/>
          <w:color w:val="auto"/>
          <w:sz w:val="32"/>
          <w:szCs w:val="32"/>
        </w:rPr>
        <w:t>行政执法工作</w:t>
      </w:r>
      <w:r>
        <w:rPr>
          <w:rFonts w:hint="eastAsia" w:ascii="仿宋_GB2312" w:hAnsi="仿宋_GB2312" w:eastAsia="仿宋_GB2312" w:cs="仿宋_GB2312"/>
          <w:color w:val="auto"/>
          <w:sz w:val="32"/>
          <w:szCs w:val="32"/>
          <w:lang w:eastAsia="zh-CN"/>
        </w:rPr>
        <w:t>。</w:t>
      </w:r>
    </w:p>
    <w:p w14:paraId="280E3403">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5"/>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lang w:val="en-US" w:eastAsia="zh-CN"/>
        </w:rPr>
        <w:t>承担</w:t>
      </w:r>
      <w:r>
        <w:rPr>
          <w:rFonts w:hint="eastAsia" w:ascii="仿宋_GB2312" w:hAnsi="仿宋_GB2312" w:eastAsia="仿宋_GB2312" w:cs="仿宋_GB2312"/>
          <w:color w:val="auto"/>
          <w:sz w:val="32"/>
          <w:szCs w:val="32"/>
        </w:rPr>
        <w:t>农业行政执法和刑事司法工作衔接，移送涉嫌犯罪案件</w:t>
      </w:r>
      <w:r>
        <w:rPr>
          <w:rFonts w:hint="eastAsia" w:ascii="仿宋_GB2312" w:hAnsi="仿宋_GB2312" w:eastAsia="仿宋_GB2312" w:cs="仿宋_GB2312"/>
          <w:color w:val="auto"/>
          <w:sz w:val="32"/>
          <w:szCs w:val="32"/>
          <w:lang w:val="en-US" w:eastAsia="zh-CN"/>
        </w:rPr>
        <w:t>和线索等工作</w:t>
      </w:r>
      <w:r>
        <w:rPr>
          <w:rFonts w:hint="eastAsia" w:ascii="仿宋_GB2312" w:hAnsi="仿宋_GB2312" w:eastAsia="仿宋_GB2312" w:cs="仿宋_GB2312"/>
          <w:color w:val="auto"/>
          <w:sz w:val="32"/>
          <w:szCs w:val="32"/>
        </w:rPr>
        <w:t>。</w:t>
      </w:r>
    </w:p>
    <w:p w14:paraId="5EBC9351">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（八）</w:t>
      </w:r>
      <w:r>
        <w:rPr>
          <w:rFonts w:hint="default" w:ascii="仿宋_GB2312" w:hAnsi="仿宋_GB2312" w:eastAsia="仿宋_GB2312" w:cs="仿宋_GB2312"/>
          <w:color w:val="auto"/>
          <w:sz w:val="32"/>
          <w:szCs w:val="32"/>
          <w:lang w:val="en" w:eastAsia="zh-CN"/>
        </w:rPr>
        <w:t>组织</w:t>
      </w:r>
      <w:r>
        <w:rPr>
          <w:rFonts w:hint="eastAsia" w:ascii="仿宋_GB2312" w:hAnsi="仿宋_GB2312" w:eastAsia="仿宋_GB2312" w:cs="仿宋_GB2312"/>
          <w:color w:val="auto"/>
          <w:sz w:val="32"/>
          <w:szCs w:val="32"/>
        </w:rPr>
        <w:t>全市农业综合行政执法法律法规宣传和培训工作。</w:t>
      </w:r>
    </w:p>
    <w:p w14:paraId="5F63B7EA">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5"/>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bCs/>
          <w:color w:val="auto"/>
          <w:kern w:val="0"/>
          <w:sz w:val="32"/>
          <w:szCs w:val="32"/>
          <w:lang w:val="en-US" w:eastAsia="zh-CN"/>
        </w:rPr>
        <w:t>承担</w:t>
      </w:r>
      <w:r>
        <w:rPr>
          <w:rFonts w:hint="eastAsia" w:ascii="仿宋_GB2312" w:hAnsi="仿宋_GB2312" w:eastAsia="仿宋_GB2312" w:cs="仿宋_GB2312"/>
          <w:color w:val="auto"/>
          <w:sz w:val="32"/>
          <w:szCs w:val="32"/>
          <w:lang w:eastAsia="zh-CN"/>
        </w:rPr>
        <w:t>本单位的安全生产工作。</w:t>
      </w:r>
    </w:p>
    <w:p w14:paraId="30307305">
      <w:pPr>
        <w:pStyle w:val="10"/>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5"/>
        <w:textAlignment w:val="auto"/>
        <w:rPr>
          <w:rFonts w:hint="eastAsia" w:ascii="Times New Roman" w:hAnsi="Times New Roman" w:eastAsia="仿宋_GB2312" w:cs="仿宋_GB2312"/>
          <w:sz w:val="32"/>
          <w:szCs w:val="32"/>
        </w:rPr>
      </w:pPr>
      <w:r>
        <w:rPr>
          <w:rFonts w:hint="eastAsia" w:ascii="仿宋_GB2312" w:hAnsi="仿宋_GB2312" w:eastAsia="仿宋_GB2312" w:cs="仿宋_GB2312"/>
          <w:color w:val="auto"/>
          <w:sz w:val="32"/>
          <w:szCs w:val="32"/>
          <w:lang w:eastAsia="zh-CN"/>
        </w:rPr>
        <w:t>（十）完成市农业农村局</w:t>
      </w:r>
      <w:r>
        <w:rPr>
          <w:rFonts w:hint="eastAsia" w:ascii="仿宋_GB2312" w:hAnsi="仿宋_GB2312" w:eastAsia="仿宋_GB2312" w:cs="仿宋_GB2312"/>
          <w:color w:val="auto"/>
          <w:sz w:val="32"/>
          <w:szCs w:val="32"/>
        </w:rPr>
        <w:t>交办的其他工作。</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69D7F22">
      <w:pPr>
        <w:keepNext w:val="0"/>
        <w:keepLines w:val="0"/>
        <w:pageBreakBefore w:val="0"/>
        <w:widowControl/>
        <w:kinsoku/>
        <w:wordWrap/>
        <w:overflowPunct/>
        <w:topLinePunct w:val="0"/>
        <w:autoSpaceDE/>
        <w:autoSpaceDN/>
        <w:bidi w:val="0"/>
        <w:adjustRightInd/>
        <w:snapToGrid/>
        <w:spacing w:line="600" w:lineRule="exact"/>
        <w:ind w:left="638" w:leftChars="304" w:firstLine="0" w:firstLineChars="0"/>
        <w:textAlignment w:val="auto"/>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岳阳市农业综合行政执法支队</w:t>
      </w:r>
      <w:r>
        <w:rPr>
          <w:rFonts w:hint="eastAsia" w:ascii="Times New Roman" w:hAnsi="Times New Roman" w:eastAsia="仿宋_GB2312" w:cs="仿宋_GB2312"/>
          <w:bCs/>
          <w:kern w:val="0"/>
          <w:sz w:val="32"/>
          <w:szCs w:val="32"/>
        </w:rPr>
        <w:t>内设机构包括：</w:t>
      </w:r>
      <w:r>
        <w:rPr>
          <w:rFonts w:hint="eastAsia" w:ascii="仿宋_GB2312" w:hAnsi="仿宋_GB2312" w:eastAsia="仿宋_GB2312" w:cs="仿宋_GB2312"/>
          <w:color w:val="000000"/>
          <w:kern w:val="0"/>
          <w:sz w:val="32"/>
          <w:szCs w:val="32"/>
          <w:lang w:val="en-US" w:eastAsia="zh-CN" w:bidi="ar-SA"/>
        </w:rPr>
        <w:t>（1）两个副科级内设机构：综合科、法制科。</w:t>
      </w:r>
    </w:p>
    <w:p w14:paraId="33A8F665">
      <w:pPr>
        <w:widowControl/>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kern w:val="0"/>
          <w:sz w:val="32"/>
          <w:szCs w:val="32"/>
          <w:lang w:val="en-US" w:eastAsia="zh-CN" w:bidi="ar-SA"/>
        </w:rPr>
        <w:t>（2）六个副科</w:t>
      </w:r>
      <w:r>
        <w:rPr>
          <w:rFonts w:hint="eastAsia" w:ascii="仿宋_GB2312" w:hAnsi="仿宋_GB2312" w:eastAsia="仿宋_GB2312" w:cs="仿宋_GB2312"/>
          <w:color w:val="auto"/>
          <w:kern w:val="0"/>
          <w:sz w:val="32"/>
          <w:szCs w:val="32"/>
          <w:lang w:eastAsia="zh-CN"/>
        </w:rPr>
        <w:t>级执法大队：</w:t>
      </w:r>
      <w:r>
        <w:rPr>
          <w:rFonts w:hint="eastAsia" w:ascii="仿宋_GB2312" w:hAnsi="仿宋_GB2312" w:eastAsia="仿宋_GB2312" w:cs="仿宋_GB2312"/>
          <w:color w:val="auto"/>
          <w:kern w:val="0"/>
          <w:sz w:val="32"/>
          <w:szCs w:val="32"/>
          <w:lang w:val="en-US" w:eastAsia="zh-CN"/>
        </w:rPr>
        <w:t>岳阳市</w:t>
      </w:r>
      <w:r>
        <w:rPr>
          <w:rFonts w:hint="eastAsia" w:ascii="仿宋_GB2312" w:hAnsi="仿宋_GB2312" w:eastAsia="仿宋_GB2312" w:cs="仿宋_GB2312"/>
          <w:color w:val="auto"/>
          <w:sz w:val="32"/>
          <w:szCs w:val="32"/>
        </w:rPr>
        <w:t>农业综合行政执法支队岳阳楼大队</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岳阳</w:t>
      </w:r>
      <w:r>
        <w:rPr>
          <w:rFonts w:hint="eastAsia" w:ascii="仿宋_GB2312" w:hAnsi="仿宋_GB2312" w:eastAsia="仿宋_GB2312" w:cs="仿宋_GB2312"/>
          <w:color w:val="auto"/>
          <w:sz w:val="32"/>
          <w:szCs w:val="32"/>
        </w:rPr>
        <w:t>市农业综合行政执法支队云溪大队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岳阳</w:t>
      </w:r>
      <w:r>
        <w:rPr>
          <w:rFonts w:hint="eastAsia" w:ascii="仿宋_GB2312" w:hAnsi="仿宋_GB2312" w:eastAsia="仿宋_GB2312" w:cs="仿宋_GB2312"/>
          <w:color w:val="auto"/>
          <w:sz w:val="32"/>
          <w:szCs w:val="32"/>
        </w:rPr>
        <w:t>市农业综合行政执法支队君山大队</w:t>
      </w:r>
      <w:r>
        <w:rPr>
          <w:rFonts w:hint="eastAsia" w:ascii="仿宋_GB2312" w:hAnsi="仿宋_GB2312" w:eastAsia="仿宋_GB2312" w:cs="仿宋_GB2312"/>
          <w:color w:val="auto"/>
          <w:sz w:val="32"/>
          <w:szCs w:val="32"/>
          <w:lang w:eastAsia="zh-CN"/>
        </w:rPr>
        <w:t>、种植和</w:t>
      </w:r>
      <w:r>
        <w:rPr>
          <w:rFonts w:hint="eastAsia" w:ascii="仿宋_GB2312" w:hAnsi="仿宋_GB2312" w:eastAsia="仿宋_GB2312" w:cs="仿宋_GB2312"/>
          <w:color w:val="auto"/>
          <w:sz w:val="32"/>
          <w:szCs w:val="32"/>
          <w:lang w:val="en-US" w:eastAsia="zh-CN"/>
        </w:rPr>
        <w:t>农机执法</w:t>
      </w:r>
      <w:r>
        <w:rPr>
          <w:rFonts w:hint="eastAsia" w:ascii="仿宋_GB2312" w:hAnsi="仿宋_GB2312" w:eastAsia="仿宋_GB2312" w:cs="仿宋_GB2312"/>
          <w:color w:val="auto"/>
          <w:sz w:val="32"/>
          <w:szCs w:val="32"/>
        </w:rPr>
        <w:t>大队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渔业</w:t>
      </w:r>
      <w:r>
        <w:rPr>
          <w:rFonts w:hint="eastAsia" w:ascii="仿宋_GB2312" w:hAnsi="仿宋_GB2312" w:eastAsia="仿宋_GB2312" w:cs="仿宋_GB2312"/>
          <w:color w:val="auto"/>
          <w:sz w:val="32"/>
          <w:szCs w:val="32"/>
          <w:lang w:eastAsia="zh-CN"/>
        </w:rPr>
        <w:t>渔政执法</w:t>
      </w:r>
      <w:r>
        <w:rPr>
          <w:rFonts w:hint="eastAsia" w:ascii="仿宋_GB2312" w:hAnsi="仿宋_GB2312" w:eastAsia="仿宋_GB2312" w:cs="仿宋_GB2312"/>
          <w:color w:val="auto"/>
          <w:sz w:val="32"/>
          <w:szCs w:val="32"/>
        </w:rPr>
        <w:t>大队</w:t>
      </w:r>
      <w:r>
        <w:rPr>
          <w:rFonts w:hint="eastAsia" w:ascii="仿宋_GB2312" w:hAnsi="仿宋_GB2312" w:eastAsia="仿宋_GB2312" w:cs="仿宋_GB2312"/>
          <w:color w:val="auto"/>
          <w:sz w:val="32"/>
          <w:szCs w:val="32"/>
          <w:lang w:eastAsia="zh-CN"/>
        </w:rPr>
        <w:t>、畜牧</w:t>
      </w:r>
      <w:r>
        <w:rPr>
          <w:rFonts w:hint="eastAsia" w:ascii="仿宋_GB2312" w:hAnsi="仿宋_GB2312" w:eastAsia="仿宋_GB2312" w:cs="仿宋_GB2312"/>
          <w:color w:val="auto"/>
          <w:sz w:val="32"/>
          <w:szCs w:val="32"/>
          <w:lang w:val="en-US" w:eastAsia="zh-CN"/>
        </w:rPr>
        <w:t>和农产品质量安全执法大队。</w:t>
      </w:r>
    </w:p>
    <w:p w14:paraId="22869C44">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仿宋_GB2312" w:hAnsi="仿宋_GB2312" w:eastAsia="仿宋_GB2312" w:cs="仿宋_GB2312"/>
          <w:color w:val="000000"/>
          <w:kern w:val="0"/>
          <w:sz w:val="32"/>
          <w:szCs w:val="32"/>
          <w:lang w:val="en-US" w:eastAsia="zh-CN" w:bidi="ar-SA"/>
        </w:rPr>
        <w:t>2024</w:t>
      </w:r>
      <w:r>
        <w:rPr>
          <w:rFonts w:hint="eastAsia" w:ascii="Times New Roman" w:hAnsi="Times New Roman" w:eastAsia="仿宋_GB2312" w:cs="仿宋_GB2312"/>
          <w:bCs/>
          <w:kern w:val="0"/>
          <w:sz w:val="32"/>
          <w:szCs w:val="32"/>
          <w:lang w:val="en-US" w:eastAsia="zh-CN"/>
        </w:rPr>
        <w:t>年度部门决算汇总公开单位仅包括岳阳市农业综合行政执法支队单位本级</w:t>
      </w:r>
      <w:r>
        <w:rPr>
          <w:rFonts w:hint="eastAsia" w:ascii="Times New Roman" w:hAnsi="Times New Roman" w:eastAsia="仿宋_GB2312" w:cs="仿宋_GB2312"/>
          <w:bCs/>
          <w:kern w:val="0"/>
          <w:sz w:val="32"/>
          <w:szCs w:val="32"/>
        </w:rPr>
        <w:t>）。</w:t>
      </w:r>
    </w:p>
    <w:p w14:paraId="3CC4D159">
      <w:pPr>
        <w:widowControl/>
        <w:spacing w:line="600" w:lineRule="exact"/>
        <w:ind w:firstLine="640" w:firstLineChars="200"/>
        <w:rPr>
          <w:rFonts w:hint="eastAsia" w:ascii="Times New Roman" w:hAnsi="Times New Roman" w:eastAsia="仿宋_GB2312" w:cs="仿宋_GB2312"/>
          <w:bCs/>
          <w:kern w:val="0"/>
          <w:sz w:val="32"/>
          <w:szCs w:val="32"/>
        </w:rPr>
      </w:pPr>
    </w:p>
    <w:p w14:paraId="38152785"/>
    <w:p w14:paraId="3CE56614">
      <w:pPr>
        <w:pStyle w:val="2"/>
      </w:pPr>
    </w:p>
    <w:p w14:paraId="70B4D569">
      <w:pPr>
        <w:pStyle w:val="6"/>
      </w:pPr>
    </w:p>
    <w:p w14:paraId="5B1D6CBC"/>
    <w:p w14:paraId="7D6C31E4">
      <w:pPr>
        <w:pStyle w:val="2"/>
      </w:pPr>
    </w:p>
    <w:p w14:paraId="056E4ECA">
      <w:pPr>
        <w:pStyle w:val="6"/>
      </w:pPr>
    </w:p>
    <w:p w14:paraId="3288C9C5"/>
    <w:p w14:paraId="14507043">
      <w:pPr>
        <w:pStyle w:val="2"/>
      </w:pPr>
    </w:p>
    <w:p w14:paraId="465EA8BD">
      <w:pPr>
        <w:pStyle w:val="6"/>
      </w:pPr>
    </w:p>
    <w:p w14:paraId="49E51758"/>
    <w:p w14:paraId="3DC8C6CD">
      <w:pPr>
        <w:pStyle w:val="2"/>
      </w:pPr>
    </w:p>
    <w:p w14:paraId="36E702E5">
      <w:pPr>
        <w:pStyle w:val="6"/>
      </w:pPr>
    </w:p>
    <w:p w14:paraId="0416550A"/>
    <w:p w14:paraId="28B49BCE">
      <w:pPr>
        <w:pStyle w:val="2"/>
      </w:pPr>
    </w:p>
    <w:p w14:paraId="43291855">
      <w:pPr>
        <w:pStyle w:val="6"/>
      </w:pPr>
    </w:p>
    <w:p w14:paraId="7CD92489"/>
    <w:p w14:paraId="5267F12B">
      <w:pPr>
        <w:pStyle w:val="2"/>
      </w:pPr>
    </w:p>
    <w:p w14:paraId="28828498">
      <w:pPr>
        <w:pStyle w:val="6"/>
      </w:pPr>
    </w:p>
    <w:p w14:paraId="04E62672"/>
    <w:p w14:paraId="1D6D7A8B">
      <w:pPr>
        <w:pStyle w:val="2"/>
      </w:pPr>
    </w:p>
    <w:p w14:paraId="2E47952B">
      <w:pPr>
        <w:pStyle w:val="6"/>
      </w:pPr>
    </w:p>
    <w:p w14:paraId="18A19BE5"/>
    <w:p w14:paraId="7CCBF86D">
      <w:pPr>
        <w:pStyle w:val="2"/>
      </w:pPr>
    </w:p>
    <w:p w14:paraId="0017F5EC">
      <w:pPr>
        <w:pStyle w:val="6"/>
      </w:pPr>
    </w:p>
    <w:p w14:paraId="76181D4E"/>
    <w:p w14:paraId="1A174866">
      <w:pPr>
        <w:pStyle w:val="15"/>
        <w:jc w:val="center"/>
        <w:rPr>
          <w:rFonts w:hint="eastAsia" w:ascii="方正小标宋_GBK" w:hAnsi="方正小标宋_GBK" w:eastAsia="方正小标宋_GBK" w:cs="方正小标宋_GBK"/>
          <w:sz w:val="84"/>
          <w:szCs w:val="84"/>
        </w:rPr>
      </w:pPr>
    </w:p>
    <w:p w14:paraId="2B49F2B7">
      <w:pPr>
        <w:pStyle w:val="15"/>
        <w:jc w:val="center"/>
        <w:rPr>
          <w:rFonts w:hint="eastAsia" w:ascii="方正小标宋_GBK" w:hAnsi="方正小标宋_GBK" w:eastAsia="方正小标宋_GBK" w:cs="方正小标宋_GBK"/>
          <w:sz w:val="84"/>
          <w:szCs w:val="84"/>
        </w:rPr>
      </w:pPr>
    </w:p>
    <w:p w14:paraId="661BBFC8">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5"/>
        <w:jc w:val="center"/>
        <w:rPr>
          <w:rFonts w:hint="eastAsia" w:ascii="方正小标宋_GBK" w:hAnsi="方正小标宋_GBK" w:eastAsia="方正小标宋_GBK" w:cs="方正小标宋_GBK"/>
          <w:sz w:val="84"/>
          <w:szCs w:val="84"/>
        </w:rPr>
      </w:pPr>
    </w:p>
    <w:p w14:paraId="3860F185">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5"/>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5"/>
        <w:jc w:val="center"/>
        <w:rPr>
          <w:rFonts w:hint="eastAsia" w:ascii="仿宋_GB2312" w:hAnsi="仿宋_GB2312" w:eastAsia="仿宋_GB2312" w:cs="仿宋_GB2312"/>
          <w:b w:val="0"/>
          <w:bCs w:val="0"/>
          <w:sz w:val="72"/>
          <w:szCs w:val="72"/>
          <w:lang w:eastAsia="zh-CN"/>
        </w:rPr>
      </w:pPr>
    </w:p>
    <w:p w14:paraId="0568D1B8">
      <w:pPr>
        <w:pStyle w:val="15"/>
        <w:jc w:val="center"/>
        <w:rPr>
          <w:rFonts w:hint="eastAsia" w:ascii="仿宋_GB2312" w:hAnsi="仿宋_GB2312" w:eastAsia="仿宋_GB2312" w:cs="仿宋_GB2312"/>
          <w:b w:val="0"/>
          <w:bCs w:val="0"/>
          <w:sz w:val="72"/>
          <w:szCs w:val="72"/>
          <w:lang w:eastAsia="zh-CN"/>
        </w:rPr>
      </w:pPr>
    </w:p>
    <w:p w14:paraId="5C65B646">
      <w:pPr>
        <w:pStyle w:val="15"/>
        <w:jc w:val="center"/>
        <w:rPr>
          <w:rFonts w:hint="eastAsia" w:ascii="仿宋_GB2312" w:hAnsi="仿宋_GB2312" w:eastAsia="仿宋_GB2312" w:cs="仿宋_GB2312"/>
          <w:b w:val="0"/>
          <w:bCs w:val="0"/>
          <w:sz w:val="72"/>
          <w:szCs w:val="72"/>
          <w:lang w:eastAsia="zh-CN"/>
        </w:rPr>
      </w:pPr>
    </w:p>
    <w:p w14:paraId="62EA5E89">
      <w:pPr>
        <w:pStyle w:val="15"/>
        <w:jc w:val="center"/>
        <w:rPr>
          <w:rFonts w:hint="eastAsia" w:ascii="仿宋_GB2312" w:hAnsi="仿宋_GB2312" w:eastAsia="仿宋_GB2312" w:cs="仿宋_GB2312"/>
          <w:b w:val="0"/>
          <w:bCs w:val="0"/>
          <w:sz w:val="72"/>
          <w:szCs w:val="72"/>
          <w:lang w:eastAsia="zh-CN"/>
        </w:rPr>
      </w:pPr>
    </w:p>
    <w:p w14:paraId="63BFFD84">
      <w:pPr>
        <w:pStyle w:val="15"/>
        <w:jc w:val="center"/>
        <w:rPr>
          <w:rFonts w:hint="eastAsia" w:ascii="仿宋_GB2312" w:hAnsi="仿宋_GB2312" w:eastAsia="仿宋_GB2312" w:cs="仿宋_GB2312"/>
          <w:b w:val="0"/>
          <w:bCs w:val="0"/>
          <w:sz w:val="72"/>
          <w:szCs w:val="72"/>
          <w:lang w:eastAsia="zh-CN"/>
        </w:rPr>
      </w:pPr>
    </w:p>
    <w:p w14:paraId="4565BABE">
      <w:pPr>
        <w:pStyle w:val="15"/>
        <w:jc w:val="center"/>
        <w:rPr>
          <w:rFonts w:hint="eastAsia" w:ascii="仿宋_GB2312" w:hAnsi="仿宋_GB2312" w:eastAsia="仿宋_GB2312" w:cs="仿宋_GB2312"/>
          <w:b w:val="0"/>
          <w:bCs w:val="0"/>
          <w:sz w:val="72"/>
          <w:szCs w:val="72"/>
          <w:lang w:eastAsia="zh-CN"/>
        </w:rPr>
      </w:pPr>
    </w:p>
    <w:p w14:paraId="6EEAB3EF">
      <w:pPr>
        <w:pStyle w:val="15"/>
        <w:jc w:val="center"/>
        <w:rPr>
          <w:rFonts w:hint="eastAsia" w:ascii="仿宋_GB2312" w:hAnsi="仿宋_GB2312" w:eastAsia="仿宋_GB2312" w:cs="仿宋_GB2312"/>
          <w:b w:val="0"/>
          <w:bCs w:val="0"/>
          <w:sz w:val="72"/>
          <w:szCs w:val="72"/>
          <w:lang w:eastAsia="zh-CN"/>
        </w:rPr>
      </w:pPr>
    </w:p>
    <w:p w14:paraId="603C04A7">
      <w:pPr>
        <w:pStyle w:val="15"/>
        <w:jc w:val="center"/>
        <w:rPr>
          <w:rFonts w:hint="eastAsia" w:ascii="方正小标宋_GBK" w:hAnsi="方正小标宋_GBK" w:eastAsia="方正小标宋_GBK" w:cs="方正小标宋_GBK"/>
          <w:sz w:val="72"/>
          <w:szCs w:val="72"/>
        </w:rPr>
      </w:pPr>
    </w:p>
    <w:p w14:paraId="7A44A82E">
      <w:pPr>
        <w:pStyle w:val="15"/>
        <w:jc w:val="center"/>
        <w:rPr>
          <w:rFonts w:hint="eastAsia" w:ascii="方正小标宋_GBK" w:hAnsi="方正小标宋_GBK" w:eastAsia="方正小标宋_GBK" w:cs="方正小标宋_GBK"/>
          <w:sz w:val="72"/>
          <w:szCs w:val="72"/>
        </w:rPr>
      </w:pPr>
    </w:p>
    <w:p w14:paraId="06211665">
      <w:pPr>
        <w:pStyle w:val="15"/>
        <w:jc w:val="both"/>
        <w:rPr>
          <w:rFonts w:hint="eastAsia" w:ascii="方正小标宋_GBK" w:hAnsi="方正小标宋_GBK" w:eastAsia="方正小标宋_GBK" w:cs="方正小标宋_GBK"/>
          <w:sz w:val="72"/>
          <w:szCs w:val="72"/>
        </w:rPr>
      </w:pPr>
    </w:p>
    <w:p w14:paraId="7804FBAA">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5"/>
        <w:jc w:val="center"/>
        <w:rPr>
          <w:rFonts w:hint="eastAsia" w:ascii="方正小标宋_GBK" w:hAnsi="方正小标宋_GBK" w:eastAsia="方正小标宋_GBK" w:cs="方正小标宋_GBK"/>
          <w:sz w:val="70"/>
          <w:szCs w:val="70"/>
        </w:rPr>
      </w:pPr>
    </w:p>
    <w:p w14:paraId="4F77A5A6">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5"/>
        <w:jc w:val="center"/>
        <w:rPr>
          <w:rFonts w:hint="eastAsia" w:ascii="方正小标宋_GBK" w:hAnsi="方正小标宋_GBK" w:eastAsia="方正小标宋_GBK" w:cs="方正小标宋_GBK"/>
          <w:sz w:val="70"/>
          <w:szCs w:val="70"/>
        </w:rPr>
      </w:pPr>
    </w:p>
    <w:p w14:paraId="6EEC30AB">
      <w:pPr>
        <w:pStyle w:val="15"/>
        <w:jc w:val="center"/>
        <w:rPr>
          <w:rFonts w:hint="eastAsia" w:ascii="方正小标宋_GBK" w:hAnsi="方正小标宋_GBK" w:eastAsia="方正小标宋_GBK" w:cs="方正小标宋_GBK"/>
          <w:sz w:val="70"/>
          <w:szCs w:val="70"/>
        </w:rPr>
      </w:pPr>
    </w:p>
    <w:p w14:paraId="417367C1">
      <w:pPr>
        <w:pStyle w:val="15"/>
        <w:jc w:val="center"/>
        <w:rPr>
          <w:rFonts w:hint="eastAsia" w:ascii="方正小标宋_GBK" w:hAnsi="方正小标宋_GBK" w:eastAsia="方正小标宋_GBK" w:cs="方正小标宋_GBK"/>
          <w:sz w:val="70"/>
          <w:szCs w:val="70"/>
        </w:rPr>
      </w:pPr>
    </w:p>
    <w:p w14:paraId="5EF1049C">
      <w:pPr>
        <w:pStyle w:val="15"/>
        <w:jc w:val="center"/>
        <w:rPr>
          <w:rFonts w:hint="eastAsia" w:ascii="方正小标宋_GBK" w:hAnsi="方正小标宋_GBK" w:eastAsia="方正小标宋_GBK" w:cs="方正小标宋_GBK"/>
          <w:sz w:val="70"/>
          <w:szCs w:val="70"/>
        </w:rPr>
      </w:pPr>
    </w:p>
    <w:p w14:paraId="514C0722">
      <w:pPr>
        <w:pStyle w:val="15"/>
        <w:jc w:val="both"/>
        <w:rPr>
          <w:rFonts w:hint="eastAsia" w:ascii="方正小标宋_GBK" w:hAnsi="方正小标宋_GBK" w:eastAsia="方正小标宋_GBK" w:cs="方正小标宋_GBK"/>
          <w:sz w:val="70"/>
          <w:szCs w:val="70"/>
        </w:rPr>
      </w:pPr>
    </w:p>
    <w:p w14:paraId="08CCBBBE">
      <w:pPr>
        <w:pStyle w:val="15"/>
        <w:jc w:val="both"/>
        <w:rPr>
          <w:rFonts w:hint="eastAsia" w:ascii="方正小标宋_GBK" w:hAnsi="方正小标宋_GBK" w:eastAsia="方正小标宋_GBK" w:cs="方正小标宋_GBK"/>
          <w:sz w:val="70"/>
          <w:szCs w:val="70"/>
        </w:rPr>
      </w:pPr>
    </w:p>
    <w:p w14:paraId="6578D339">
      <w:pPr>
        <w:pStyle w:val="15"/>
        <w:jc w:val="both"/>
        <w:rPr>
          <w:rFonts w:hint="eastAsia" w:ascii="方正小标宋_GBK" w:hAnsi="方正小标宋_GBK" w:eastAsia="方正小标宋_GBK" w:cs="方正小标宋_GBK"/>
          <w:sz w:val="70"/>
          <w:szCs w:val="70"/>
        </w:rPr>
      </w:pPr>
    </w:p>
    <w:p w14:paraId="6AAD82F5">
      <w:pPr>
        <w:pStyle w:val="15"/>
        <w:jc w:val="both"/>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5D07E68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2411C08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1376.39</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0.18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单位基本养老保险缴费支出及其他社会保障和就业支出等有所增加。</w:t>
      </w:r>
    </w:p>
    <w:p w14:paraId="07DA9E3F">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1376.39</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1375.98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99.97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0.41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w:t>
      </w:r>
    </w:p>
    <w:p w14:paraId="2D1A2B4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1376.39</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883.71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64.20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492.68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35.80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pStyle w:val="15"/>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1375.98</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单位基本养老保险缴费支出及其他社会保障和就业支出等有所增加。</w:t>
      </w:r>
    </w:p>
    <w:p w14:paraId="4BB30A6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6811AE5D">
      <w:pPr>
        <w:pStyle w:val="15"/>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1375.98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99.97</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单位基本养老保险缴费支出及其他社会保障和就业支出等有所增加。</w:t>
      </w:r>
    </w:p>
    <w:p w14:paraId="66C54C8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1375.98</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eastAsia="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197.07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14.32%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卫生健康支出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33.22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2.42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1099.61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79.91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46.08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3.35</w:t>
      </w:r>
      <w:r>
        <w:rPr>
          <w:rFonts w:hint="eastAsia" w:ascii="仿宋_GB2312" w:hAnsi="仿宋_GB2312" w:eastAsia="仿宋_GB2312" w:cs="仿宋_GB2312"/>
          <w:sz w:val="32"/>
          <w:szCs w:val="32"/>
        </w:rPr>
        <w:t>%;</w:t>
      </w:r>
    </w:p>
    <w:p w14:paraId="5CDBADF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790.1</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1375.98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174.15</w:t>
      </w:r>
      <w:r>
        <w:rPr>
          <w:rFonts w:hint="eastAsia" w:ascii="仿宋_GB2312" w:hAnsi="仿宋_GB2312" w:eastAsia="仿宋_GB2312" w:cs="仿宋_GB2312"/>
          <w:sz w:val="32"/>
          <w:szCs w:val="32"/>
        </w:rPr>
        <w:t>%，其中：</w:t>
      </w:r>
    </w:p>
    <w:p w14:paraId="237A4D6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事业单位离退休</w:t>
      </w:r>
      <w:r>
        <w:rPr>
          <w:rFonts w:hint="eastAsia" w:ascii="仿宋_GB2312" w:hAnsi="仿宋_GB2312" w:eastAsia="仿宋_GB2312" w:cs="仿宋_GB2312"/>
          <w:sz w:val="32"/>
          <w:szCs w:val="32"/>
        </w:rPr>
        <w:t>（项）。</w:t>
      </w:r>
    </w:p>
    <w:p w14:paraId="23CE3618">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116.56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116.67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100.09</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2024年下半年离休职工护理费提标。</w:t>
      </w:r>
    </w:p>
    <w:p w14:paraId="3443D2A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机关事业单位基本养老保险缴费支出</w:t>
      </w:r>
      <w:r>
        <w:rPr>
          <w:rFonts w:hint="eastAsia" w:ascii="仿宋_GB2312" w:hAnsi="仿宋_GB2312" w:eastAsia="仿宋_GB2312" w:cs="仿宋_GB2312"/>
          <w:sz w:val="32"/>
          <w:szCs w:val="32"/>
        </w:rPr>
        <w:t>（项）。</w:t>
      </w:r>
    </w:p>
    <w:p w14:paraId="0B2478B2">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64.52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62.19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96.39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本年度陆续有三人退休，养老保险缴费相应减少。</w:t>
      </w:r>
    </w:p>
    <w:p w14:paraId="2425CAE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残疾人事业</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其他残疾人事业支出</w:t>
      </w:r>
      <w:r>
        <w:rPr>
          <w:rFonts w:hint="eastAsia" w:ascii="仿宋_GB2312" w:hAnsi="仿宋_GB2312" w:eastAsia="仿宋_GB2312" w:cs="仿宋_GB2312"/>
          <w:sz w:val="32"/>
          <w:szCs w:val="32"/>
        </w:rPr>
        <w:t>（项）。</w:t>
      </w:r>
    </w:p>
    <w:p w14:paraId="2060FE7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4.47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4.47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我单位严格按照预算数执行。</w:t>
      </w:r>
    </w:p>
    <w:p w14:paraId="56605F8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其他社会保障和就业支出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其他社会保障和就业支出</w:t>
      </w:r>
      <w:r>
        <w:rPr>
          <w:rFonts w:hint="eastAsia" w:ascii="仿宋_GB2312" w:hAnsi="仿宋_GB2312" w:eastAsia="仿宋_GB2312" w:cs="仿宋_GB2312"/>
          <w:sz w:val="32"/>
          <w:szCs w:val="32"/>
        </w:rPr>
        <w:t>（项）。</w:t>
      </w:r>
    </w:p>
    <w:p w14:paraId="3ADDC04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13.74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13.74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我单位严格按照预算数执行。</w:t>
      </w:r>
    </w:p>
    <w:p w14:paraId="67BA58D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行政事业单位医疗</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事业单位医疗</w:t>
      </w:r>
      <w:r>
        <w:rPr>
          <w:rFonts w:hint="eastAsia" w:ascii="仿宋_GB2312" w:hAnsi="仿宋_GB2312" w:eastAsia="仿宋_GB2312" w:cs="仿宋_GB2312"/>
          <w:sz w:val="32"/>
          <w:szCs w:val="32"/>
        </w:rPr>
        <w:t>（项）。</w:t>
      </w:r>
    </w:p>
    <w:p w14:paraId="7D4D989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34.25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33.22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96.99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本年度陆续有三人退休，医疗保险缴费相应减少。</w:t>
      </w:r>
    </w:p>
    <w:p w14:paraId="54A82A6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事业运行</w:t>
      </w:r>
      <w:r>
        <w:rPr>
          <w:rFonts w:hint="eastAsia" w:ascii="仿宋_GB2312" w:hAnsi="仿宋_GB2312" w:eastAsia="仿宋_GB2312" w:cs="仿宋_GB2312"/>
          <w:sz w:val="32"/>
          <w:szCs w:val="32"/>
        </w:rPr>
        <w:t>（项）。</w:t>
      </w:r>
    </w:p>
    <w:p w14:paraId="54BFFF4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510.12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506.63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99.32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为贯彻落实“过紧日子”的要求，我单位严格控制和压减经费开支。</w:t>
      </w:r>
    </w:p>
    <w:p w14:paraId="7475196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农业资源保护修复与利用</w:t>
      </w:r>
      <w:r>
        <w:rPr>
          <w:rFonts w:hint="eastAsia" w:ascii="仿宋_GB2312" w:hAnsi="仿宋_GB2312" w:eastAsia="仿宋_GB2312" w:cs="仿宋_GB2312"/>
          <w:sz w:val="32"/>
          <w:szCs w:val="32"/>
        </w:rPr>
        <w:t>（项）。</w:t>
      </w:r>
    </w:p>
    <w:p w14:paraId="37015B7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color w:val="auto"/>
          <w:sz w:val="32"/>
          <w:szCs w:val="32"/>
          <w:lang w:eastAsia="zh-CN"/>
        </w:rPr>
        <w:t>中央财政转移支付渔业资源增殖放流资金。</w:t>
      </w:r>
    </w:p>
    <w:p w14:paraId="604547E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渔业发展</w:t>
      </w:r>
      <w:r>
        <w:rPr>
          <w:rFonts w:hint="eastAsia" w:ascii="仿宋_GB2312" w:hAnsi="仿宋_GB2312" w:eastAsia="仿宋_GB2312" w:cs="仿宋_GB2312"/>
          <w:sz w:val="32"/>
          <w:szCs w:val="32"/>
        </w:rPr>
        <w:t>（项）。</w:t>
      </w:r>
    </w:p>
    <w:p w14:paraId="086E502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76.38</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中央财政转移支付成品油价格调整对渔业的补助。</w:t>
      </w:r>
    </w:p>
    <w:p w14:paraId="171E829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其他农业农村支出</w:t>
      </w:r>
      <w:r>
        <w:rPr>
          <w:rFonts w:hint="eastAsia" w:ascii="仿宋_GB2312" w:hAnsi="仿宋_GB2312" w:eastAsia="仿宋_GB2312" w:cs="仿宋_GB2312"/>
          <w:sz w:val="32"/>
          <w:szCs w:val="32"/>
        </w:rPr>
        <w:t>（项）。</w:t>
      </w:r>
    </w:p>
    <w:p w14:paraId="7A60FE0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477.6</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农业综合执法经费、</w:t>
      </w:r>
      <w:r>
        <w:rPr>
          <w:rFonts w:hint="eastAsia" w:ascii="仿宋_GB2312" w:hAnsi="仿宋_GB2312" w:eastAsia="仿宋_GB2312" w:cs="仿宋_GB2312"/>
          <w:sz w:val="32"/>
          <w:szCs w:val="32"/>
          <w:lang w:val="en-US" w:eastAsia="zh-CN"/>
        </w:rPr>
        <w:t>江豚保护经费、生态修复补偿经费、中心城区屠宰检疫监管经费</w:t>
      </w:r>
      <w:r>
        <w:rPr>
          <w:rFonts w:hint="eastAsia" w:ascii="仿宋_GB2312" w:hAnsi="仿宋_GB2312" w:eastAsia="仿宋_GB2312" w:cs="仿宋_GB2312"/>
          <w:sz w:val="32"/>
          <w:szCs w:val="32"/>
          <w:lang w:eastAsia="zh-CN"/>
        </w:rPr>
        <w:t>等专项经费未在财政拨款支出年初预算数中体现。</w:t>
      </w:r>
    </w:p>
    <w:p w14:paraId="7439656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住房改善支出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住房公积金</w:t>
      </w:r>
      <w:r>
        <w:rPr>
          <w:rFonts w:hint="eastAsia" w:ascii="仿宋_GB2312" w:hAnsi="仿宋_GB2312" w:eastAsia="仿宋_GB2312" w:cs="仿宋_GB2312"/>
          <w:sz w:val="32"/>
          <w:szCs w:val="32"/>
        </w:rPr>
        <w:t>（项）。</w:t>
      </w:r>
    </w:p>
    <w:p w14:paraId="1DA31A3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46.44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46.08</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val="en-US" w:eastAsia="zh-CN"/>
        </w:rPr>
        <w:t>本年度陆续有三人退休，住房公积金缴费相应减少。</w:t>
      </w:r>
    </w:p>
    <w:p w14:paraId="373E8BA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883.71</w:t>
      </w:r>
      <w:r>
        <w:rPr>
          <w:rFonts w:hint="eastAsia" w:ascii="仿宋_GB2312" w:hAnsi="仿宋_GB2312" w:eastAsia="仿宋_GB2312" w:cs="仿宋_GB2312"/>
          <w:sz w:val="32"/>
          <w:szCs w:val="32"/>
        </w:rPr>
        <w:t>万元，其中：</w:t>
      </w:r>
    </w:p>
    <w:p w14:paraId="064A0CC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830.52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93.98</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 机关事业单位基本养老保险缴费、 职工基本医疗保险缴费、 其他社会保障缴费、住房公积金、</w:t>
      </w:r>
      <w:r>
        <w:rPr>
          <w:rFonts w:hint="eastAsia" w:ascii="仿宋_GB2312" w:hAnsi="仿宋_GB2312" w:eastAsia="仿宋_GB2312" w:cs="仿宋_GB2312"/>
          <w:sz w:val="32"/>
          <w:szCs w:val="32"/>
          <w:lang w:val="en-US" w:eastAsia="zh-CN"/>
        </w:rPr>
        <w:t>医疗费、</w:t>
      </w:r>
      <w:r>
        <w:rPr>
          <w:rFonts w:hint="eastAsia" w:ascii="仿宋_GB2312" w:hAnsi="仿宋_GB2312" w:eastAsia="仿宋_GB2312" w:cs="仿宋_GB2312"/>
          <w:sz w:val="32"/>
          <w:szCs w:val="32"/>
          <w:lang w:eastAsia="zh-CN"/>
        </w:rPr>
        <w:t>离休费、退休费、医疗费补助、其他对个人和家庭的补助。</w:t>
      </w:r>
    </w:p>
    <w:p w14:paraId="2F11768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53.19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6.02</w:t>
      </w:r>
      <w:r>
        <w:rPr>
          <w:rFonts w:hint="eastAsia" w:ascii="仿宋_GB2312" w:hAnsi="仿宋_GB2312" w:eastAsia="仿宋_GB2312" w:cs="仿宋_GB2312"/>
          <w:sz w:val="32"/>
          <w:szCs w:val="32"/>
        </w:rPr>
        <w:t>%，主要包括办公费、水费</w:t>
      </w:r>
      <w:r>
        <w:rPr>
          <w:rFonts w:hint="eastAsia" w:ascii="仿宋_GB2312" w:hAnsi="仿宋_GB2312" w:eastAsia="仿宋_GB2312" w:cs="仿宋_GB2312"/>
          <w:sz w:val="32"/>
          <w:szCs w:val="32"/>
          <w:lang w:eastAsia="zh-CN"/>
        </w:rPr>
        <w:t>、电费、物业管理费、</w:t>
      </w:r>
      <w:r>
        <w:rPr>
          <w:rFonts w:hint="eastAsia" w:ascii="仿宋_GB2312" w:hAnsi="仿宋_GB2312" w:eastAsia="仿宋_GB2312" w:cs="仿宋_GB2312"/>
          <w:sz w:val="32"/>
          <w:szCs w:val="32"/>
          <w:lang w:val="en-US" w:eastAsia="zh-CN"/>
        </w:rPr>
        <w:t>差旅费、</w:t>
      </w:r>
      <w:r>
        <w:rPr>
          <w:rFonts w:hint="eastAsia" w:ascii="仿宋_GB2312" w:hAnsi="仿宋_GB2312" w:eastAsia="仿宋_GB2312" w:cs="仿宋_GB2312"/>
          <w:sz w:val="32"/>
          <w:szCs w:val="32"/>
          <w:lang w:eastAsia="zh-CN"/>
        </w:rPr>
        <w:t>会议费、公务接待费、工会经费、公务用车运行维护费、其他交通费用、其他商品和服务支出</w:t>
      </w:r>
      <w:r>
        <w:rPr>
          <w:rFonts w:hint="eastAsia" w:ascii="仿宋_GB2312" w:hAnsi="仿宋_GB2312" w:eastAsia="仿宋_GB2312" w:cs="仿宋_GB2312"/>
          <w:sz w:val="32"/>
          <w:szCs w:val="32"/>
        </w:rPr>
        <w:t>。</w:t>
      </w:r>
    </w:p>
    <w:p w14:paraId="45A8D33F">
      <w:pPr>
        <w:pStyle w:val="15"/>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政府性基金预算收入支出决算情况</w:t>
      </w:r>
    </w:p>
    <w:p w14:paraId="1BAE16F6">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4年度政府性基金预算财政拨款收入</w:t>
      </w:r>
      <w:r>
        <w:rPr>
          <w:rFonts w:hint="eastAsia" w:ascii="仿宋_GB2312" w:hAnsi="仿宋_GB2312" w:eastAsia="仿宋_GB2312" w:cs="仿宋_GB2312"/>
          <w:sz w:val="32"/>
          <w:szCs w:val="32"/>
          <w:lang w:val="en-US" w:eastAsia="zh-CN"/>
        </w:rPr>
        <w:t>0万元；年初结转和结余</w:t>
      </w:r>
      <w:r>
        <w:rPr>
          <w:rFonts w:hint="eastAsia" w:ascii="仿宋_GB2312" w:hAnsi="仿宋_GB2312" w:eastAsia="仿宋_GB2312" w:cs="仿宋_GB2312"/>
          <w:sz w:val="32"/>
          <w:szCs w:val="32"/>
          <w:lang w:val="en-US" w:eastAsia="zh-CN"/>
        </w:rPr>
        <w:t>0万元；支出</w:t>
      </w:r>
      <w:r>
        <w:rPr>
          <w:rFonts w:hint="eastAsia" w:ascii="仿宋_GB2312" w:hAnsi="仿宋_GB2312" w:eastAsia="仿宋_GB2312" w:cs="仿宋_GB2312"/>
          <w:sz w:val="32"/>
          <w:szCs w:val="32"/>
          <w:lang w:val="en-US" w:eastAsia="zh-CN"/>
        </w:rPr>
        <w:t>0万元，其中基本支出</w:t>
      </w:r>
      <w:r>
        <w:rPr>
          <w:rFonts w:hint="eastAsia" w:ascii="仿宋_GB2312" w:hAnsi="仿宋_GB2312" w:eastAsia="仿宋_GB2312" w:cs="仿宋_GB2312"/>
          <w:sz w:val="32"/>
          <w:szCs w:val="32"/>
          <w:lang w:val="en-US" w:eastAsia="zh-CN"/>
        </w:rPr>
        <w:t>0万元，项目支出</w:t>
      </w:r>
      <w:r>
        <w:rPr>
          <w:rFonts w:hint="eastAsia" w:ascii="仿宋_GB2312" w:hAnsi="仿宋_GB2312" w:eastAsia="仿宋_GB2312" w:cs="仿宋_GB2312"/>
          <w:sz w:val="32"/>
          <w:szCs w:val="32"/>
          <w:lang w:val="en-US" w:eastAsia="zh-CN"/>
        </w:rPr>
        <w:t>0万元；年末结转和结余</w:t>
      </w:r>
      <w:r>
        <w:rPr>
          <w:rFonts w:hint="eastAsia" w:ascii="仿宋_GB2312" w:hAnsi="仿宋_GB2312" w:eastAsia="仿宋_GB2312" w:cs="仿宋_GB2312"/>
          <w:sz w:val="32"/>
          <w:szCs w:val="32"/>
          <w:lang w:val="en-US" w:eastAsia="zh-CN"/>
        </w:rPr>
        <w:t>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4CC7F4F">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hint="eastAsia" w:ascii="仿宋_GB2312" w:hAnsi="仿宋_GB2312" w:eastAsia="仿宋_GB2312" w:cs="仿宋_GB2312"/>
          <w:sz w:val="32"/>
          <w:szCs w:val="32"/>
          <w:lang w:val="en-US" w:eastAsia="zh-CN"/>
        </w:rPr>
        <w:t>2024</w:t>
      </w:r>
      <w:r>
        <w:rPr>
          <w:rFonts w:ascii="Times New Roman" w:hAnsi="Times New Roman" w:eastAsia="仿宋_GB2312" w:cs="Times New Roman"/>
          <w:sz w:val="32"/>
          <w:szCs w:val="32"/>
        </w:rPr>
        <w:t>年度“三公”经费财政拨款支出预算为</w:t>
      </w:r>
      <w:r>
        <w:rPr>
          <w:rFonts w:hint="eastAsia" w:ascii="仿宋_GB2312" w:hAnsi="仿宋_GB2312" w:eastAsia="仿宋_GB2312" w:cs="仿宋_GB2312"/>
          <w:sz w:val="32"/>
          <w:szCs w:val="32"/>
          <w:lang w:val="en-US" w:eastAsia="zh-CN"/>
        </w:rPr>
        <w:t>12.02</w:t>
      </w:r>
      <w:r>
        <w:rPr>
          <w:rFonts w:ascii="Times New Roman" w:hAnsi="Times New Roman" w:eastAsia="仿宋_GB2312" w:cs="Times New Roman"/>
          <w:sz w:val="32"/>
          <w:szCs w:val="32"/>
        </w:rPr>
        <w:t>万元，支出决算为</w:t>
      </w:r>
      <w:r>
        <w:rPr>
          <w:rFonts w:hint="eastAsia" w:ascii="仿宋_GB2312" w:hAnsi="仿宋_GB2312" w:eastAsia="仿宋_GB2312" w:cs="仿宋_GB2312"/>
          <w:sz w:val="32"/>
          <w:szCs w:val="32"/>
          <w:lang w:val="en-US" w:eastAsia="zh-CN"/>
        </w:rPr>
        <w:t>12.02</w:t>
      </w:r>
      <w:r>
        <w:rPr>
          <w:rFonts w:ascii="Times New Roman" w:hAnsi="Times New Roman" w:eastAsia="仿宋_GB2312" w:cs="Times New Roman"/>
          <w:sz w:val="32"/>
          <w:szCs w:val="32"/>
        </w:rPr>
        <w:t>万元，完成预算的</w:t>
      </w:r>
      <w:r>
        <w:rPr>
          <w:rFonts w:hint="eastAsia" w:ascii="仿宋_GB2312" w:hAnsi="仿宋_GB2312" w:eastAsia="仿宋_GB2312" w:cs="仿宋_GB2312"/>
          <w:sz w:val="32"/>
          <w:szCs w:val="32"/>
          <w:lang w:val="en-US" w:eastAsia="zh-CN"/>
        </w:rPr>
        <w:t>100%</w:t>
      </w:r>
      <w:r>
        <w:rPr>
          <w:rFonts w:ascii="Times New Roman" w:hAnsi="Times New Roman" w:eastAsia="仿宋_GB2312" w:cs="Times New Roman"/>
          <w:sz w:val="32"/>
          <w:szCs w:val="32"/>
        </w:rPr>
        <w:t>；与上年相比减少</w:t>
      </w:r>
      <w:r>
        <w:rPr>
          <w:rFonts w:hint="eastAsia" w:ascii="仿宋_GB2312" w:hAnsi="仿宋_GB2312" w:eastAsia="仿宋_GB2312" w:cs="仿宋_GB2312"/>
          <w:sz w:val="32"/>
          <w:szCs w:val="32"/>
          <w:lang w:val="en-US" w:eastAsia="zh-CN"/>
        </w:rPr>
        <w:t>17.62</w:t>
      </w:r>
      <w:r>
        <w:rPr>
          <w:rFonts w:ascii="Times New Roman" w:hAnsi="Times New Roman" w:eastAsia="仿宋_GB2312" w:cs="Times New Roman"/>
          <w:sz w:val="32"/>
          <w:szCs w:val="32"/>
        </w:rPr>
        <w:t>万元，降低</w:t>
      </w:r>
      <w:r>
        <w:rPr>
          <w:rFonts w:hint="eastAsia" w:ascii="仿宋_GB2312" w:hAnsi="仿宋_GB2312" w:eastAsia="仿宋_GB2312" w:cs="仿宋_GB2312"/>
          <w:sz w:val="32"/>
          <w:szCs w:val="32"/>
          <w:lang w:val="en-US" w:eastAsia="zh-CN"/>
        </w:rPr>
        <w:t>59.45%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于预算数</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上年度</w:t>
      </w:r>
      <w:r>
        <w:rPr>
          <w:rFonts w:hint="eastAsia" w:ascii="仿宋_GB2312" w:hAnsi="仿宋_GB2312" w:eastAsia="仿宋_GB2312" w:cs="仿宋_GB2312"/>
          <w:sz w:val="32"/>
          <w:szCs w:val="32"/>
          <w:lang w:eastAsia="zh-CN"/>
        </w:rPr>
        <w:t>我单位因行政执法车辆已达报废年限，经相关部门批准置换新车一台，</w:t>
      </w:r>
      <w:r>
        <w:rPr>
          <w:rFonts w:hint="eastAsia" w:ascii="仿宋_GB2312" w:hAnsi="仿宋_GB2312" w:eastAsia="仿宋_GB2312" w:cs="仿宋_GB2312"/>
          <w:sz w:val="32"/>
          <w:szCs w:val="32"/>
          <w:lang w:val="en-US" w:eastAsia="zh-CN"/>
        </w:rPr>
        <w:t>本年度相关经费减少</w:t>
      </w:r>
      <w:r>
        <w:rPr>
          <w:rFonts w:ascii="Times New Roman" w:hAnsi="Times New Roman" w:eastAsia="仿宋_GB2312" w:cs="Times New Roman"/>
          <w:sz w:val="32"/>
          <w:szCs w:val="32"/>
        </w:rPr>
        <w:t>。</w:t>
      </w:r>
    </w:p>
    <w:p w14:paraId="352D03A7">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2C395F28">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.因公出国（境）费支出预算为</w:t>
      </w:r>
      <w:r>
        <w:rPr>
          <w:rFonts w:hint="eastAsia" w:ascii="仿宋_GB2312" w:hAnsi="仿宋_GB2312" w:eastAsia="仿宋_GB2312" w:cs="仿宋_GB2312"/>
          <w:sz w:val="32"/>
          <w:szCs w:val="32"/>
          <w:lang w:val="en-US" w:eastAsia="zh-CN"/>
        </w:rPr>
        <w:t>0</w:t>
      </w:r>
      <w:r>
        <w:rPr>
          <w:rFonts w:hint="eastAsia" w:ascii="Times New Roman" w:hAnsi="Times New Roman" w:eastAsia="仿宋_GB2312" w:cs="Times New Roman"/>
          <w:sz w:val="32"/>
          <w:szCs w:val="32"/>
          <w:lang w:val="en-US" w:eastAsia="zh-CN"/>
        </w:rPr>
        <w:t>万元，支出决算为</w:t>
      </w:r>
      <w:r>
        <w:rPr>
          <w:rFonts w:hint="eastAsia" w:ascii="仿宋_GB2312" w:hAnsi="仿宋_GB2312" w:eastAsia="仿宋_GB2312" w:cs="仿宋_GB2312"/>
          <w:sz w:val="32"/>
          <w:szCs w:val="32"/>
          <w:lang w:val="en-US" w:eastAsia="zh-CN"/>
        </w:rPr>
        <w:t>0</w:t>
      </w:r>
      <w:r>
        <w:rPr>
          <w:rFonts w:hint="eastAsia" w:ascii="Times New Roman" w:hAnsi="Times New Roman" w:eastAsia="仿宋_GB2312" w:cs="Times New Roman"/>
          <w:sz w:val="32"/>
          <w:szCs w:val="32"/>
          <w:lang w:val="en-US" w:eastAsia="zh-CN"/>
        </w:rPr>
        <w:t>万元，决算数等于预算数，主要原因是我单位严格按预算执行决算；与上年一致，无增减变动，主要原因是未安排因公出国（境）活动。</w:t>
      </w:r>
      <w:r>
        <w:rPr>
          <w:rFonts w:hint="eastAsia" w:ascii="仿宋_GB2312" w:hAnsi="仿宋_GB2312" w:eastAsia="仿宋_GB2312" w:cs="仿宋_GB2312"/>
          <w:sz w:val="32"/>
          <w:szCs w:val="32"/>
          <w:lang w:val="en-US" w:eastAsia="zh-CN"/>
        </w:rPr>
        <w:t>2024</w:t>
      </w:r>
      <w:r>
        <w:rPr>
          <w:rFonts w:hint="eastAsia" w:ascii="Times New Roman" w:hAnsi="Times New Roman" w:eastAsia="仿宋_GB2312" w:cs="Times New Roman"/>
          <w:sz w:val="32"/>
          <w:szCs w:val="32"/>
          <w:lang w:val="en-US" w:eastAsia="zh-CN"/>
        </w:rPr>
        <w:t>年度安排因公出国（境）团组</w:t>
      </w:r>
      <w:r>
        <w:rPr>
          <w:rFonts w:hint="eastAsia" w:ascii="仿宋_GB2312" w:hAnsi="仿宋_GB2312" w:eastAsia="仿宋_GB2312" w:cs="仿宋_GB2312"/>
          <w:sz w:val="32"/>
          <w:szCs w:val="32"/>
          <w:lang w:val="en-US" w:eastAsia="zh-CN"/>
        </w:rPr>
        <w:t>0</w:t>
      </w:r>
      <w:r>
        <w:rPr>
          <w:rFonts w:hint="eastAsia" w:ascii="Times New Roman" w:hAnsi="Times New Roman" w:eastAsia="仿宋_GB2312" w:cs="Times New Roman"/>
          <w:sz w:val="32"/>
          <w:szCs w:val="32"/>
          <w:lang w:val="en-US" w:eastAsia="zh-CN"/>
        </w:rPr>
        <w:t>个，累计</w:t>
      </w:r>
      <w:r>
        <w:rPr>
          <w:rFonts w:hint="eastAsia" w:ascii="仿宋_GB2312" w:hAnsi="仿宋_GB2312" w:eastAsia="仿宋_GB2312" w:cs="仿宋_GB2312"/>
          <w:sz w:val="32"/>
          <w:szCs w:val="32"/>
          <w:lang w:val="en-US" w:eastAsia="zh-CN"/>
        </w:rPr>
        <w:t>0</w:t>
      </w:r>
      <w:r>
        <w:rPr>
          <w:rFonts w:hint="eastAsia" w:ascii="Times New Roman" w:hAnsi="Times New Roman" w:eastAsia="仿宋_GB2312" w:cs="Times New Roman"/>
          <w:sz w:val="32"/>
          <w:szCs w:val="32"/>
          <w:lang w:val="en-US" w:eastAsia="zh-CN"/>
        </w:rPr>
        <w:t>人次。</w:t>
      </w:r>
    </w:p>
    <w:p w14:paraId="65978CAB">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仿宋_GB2312" w:hAnsi="仿宋_GB2312" w:eastAsia="仿宋_GB2312" w:cs="仿宋_GB2312"/>
          <w:sz w:val="32"/>
          <w:szCs w:val="32"/>
          <w:lang w:val="en-US" w:eastAsia="zh-CN"/>
        </w:rPr>
        <w:t>11.31</w:t>
      </w:r>
      <w:r>
        <w:rPr>
          <w:rFonts w:ascii="Times New Roman" w:hAnsi="Times New Roman" w:eastAsia="仿宋_GB2312" w:cs="Times New Roman"/>
          <w:sz w:val="32"/>
          <w:szCs w:val="32"/>
        </w:rPr>
        <w:t>万元，支出决算为</w:t>
      </w:r>
      <w:r>
        <w:rPr>
          <w:rFonts w:hint="eastAsia" w:ascii="仿宋_GB2312" w:hAnsi="仿宋_GB2312" w:eastAsia="仿宋_GB2312" w:cs="仿宋_GB2312"/>
          <w:sz w:val="32"/>
          <w:szCs w:val="32"/>
          <w:lang w:val="en-US" w:eastAsia="zh-CN"/>
        </w:rPr>
        <w:t>11.31</w:t>
      </w:r>
      <w:r>
        <w:rPr>
          <w:rFonts w:ascii="Times New Roman" w:hAnsi="Times New Roman" w:eastAsia="仿宋_GB2312" w:cs="Times New Roman"/>
          <w:sz w:val="32"/>
          <w:szCs w:val="32"/>
        </w:rPr>
        <w:t>万元，完成预算的</w:t>
      </w:r>
      <w:r>
        <w:rPr>
          <w:rFonts w:hint="eastAsia" w:ascii="仿宋_GB2312" w:hAnsi="仿宋_GB2312" w:eastAsia="仿宋_GB2312" w:cs="仿宋_GB2312"/>
          <w:sz w:val="32"/>
          <w:szCs w:val="32"/>
          <w:lang w:val="en-US" w:eastAsia="zh-CN"/>
        </w:rPr>
        <w:t>100%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w:t>
      </w:r>
      <w:r>
        <w:rPr>
          <w:rFonts w:hint="eastAsia" w:ascii="仿宋_GB2312" w:hAnsi="仿宋_GB2312" w:eastAsia="仿宋_GB2312" w:cs="仿宋_GB2312"/>
          <w:sz w:val="32"/>
          <w:szCs w:val="32"/>
          <w:lang w:val="en-US" w:eastAsia="zh-CN"/>
        </w:rPr>
        <w:t>15.67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降低</w:t>
      </w:r>
      <w:r>
        <w:rPr>
          <w:rFonts w:hint="eastAsia" w:ascii="仿宋_GB2312" w:hAnsi="仿宋_GB2312" w:eastAsia="仿宋_GB2312" w:cs="仿宋_GB2312"/>
          <w:sz w:val="32"/>
          <w:szCs w:val="32"/>
          <w:lang w:val="en-US" w:eastAsia="zh-CN"/>
        </w:rPr>
        <w:t>58.08%。</w:t>
      </w:r>
      <w:r>
        <w:rPr>
          <w:rFonts w:ascii="Times New Roman" w:hAnsi="Times New Roman" w:eastAsia="仿宋_GB2312" w:cs="Times New Roman"/>
          <w:sz w:val="32"/>
          <w:szCs w:val="32"/>
        </w:rPr>
        <w:t>其中：</w:t>
      </w:r>
    </w:p>
    <w:p w14:paraId="07AF86AC">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仿宋_GB2312" w:hAnsi="仿宋_GB2312" w:eastAsia="仿宋_GB2312" w:cs="仿宋_GB2312"/>
          <w:sz w:val="32"/>
          <w:szCs w:val="32"/>
          <w:lang w:val="en-US" w:eastAsia="zh-CN"/>
        </w:rPr>
        <w:t>0</w:t>
      </w:r>
      <w:r>
        <w:rPr>
          <w:rFonts w:ascii="Times New Roman" w:hAnsi="Times New Roman" w:eastAsia="仿宋_GB2312" w:cs="Times New Roman"/>
          <w:sz w:val="32"/>
          <w:szCs w:val="32"/>
        </w:rPr>
        <w:t>万元，支出决算为</w:t>
      </w:r>
      <w:r>
        <w:rPr>
          <w:rFonts w:hint="eastAsia" w:ascii="仿宋_GB2312" w:hAnsi="仿宋_GB2312" w:eastAsia="仿宋_GB2312" w:cs="仿宋_GB2312"/>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w:t>
      </w:r>
      <w:r>
        <w:rPr>
          <w:rFonts w:ascii="Times New Roman" w:hAnsi="Times New Roman" w:eastAsia="仿宋_GB2312" w:cs="Times New Roman"/>
          <w:sz w:val="32"/>
          <w:szCs w:val="32"/>
        </w:rPr>
        <w:t>与上年相比减少</w:t>
      </w:r>
      <w:r>
        <w:rPr>
          <w:rFonts w:hint="eastAsia" w:ascii="仿宋_GB2312" w:hAnsi="仿宋_GB2312" w:eastAsia="仿宋_GB2312" w:cs="仿宋_GB2312"/>
          <w:sz w:val="32"/>
          <w:szCs w:val="32"/>
          <w:lang w:val="en-US" w:eastAsia="zh-CN"/>
        </w:rPr>
        <w:t>17.98</w:t>
      </w:r>
      <w:r>
        <w:rPr>
          <w:rFonts w:ascii="Times New Roman" w:hAnsi="Times New Roman" w:eastAsia="仿宋_GB2312" w:cs="Times New Roman"/>
          <w:sz w:val="32"/>
          <w:szCs w:val="32"/>
        </w:rPr>
        <w:t>万元，降低</w:t>
      </w:r>
      <w:r>
        <w:rPr>
          <w:rFonts w:hint="eastAsia" w:ascii="仿宋_GB2312" w:hAnsi="仿宋_GB2312" w:eastAsia="仿宋_GB2312" w:cs="仿宋_GB2312"/>
          <w:sz w:val="32"/>
          <w:szCs w:val="32"/>
          <w:lang w:val="en-US" w:eastAsia="zh-CN"/>
        </w:rPr>
        <w:t>100%</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上年度</w:t>
      </w:r>
      <w:r>
        <w:rPr>
          <w:rFonts w:hint="eastAsia" w:ascii="仿宋_GB2312" w:hAnsi="仿宋_GB2312" w:eastAsia="仿宋_GB2312" w:cs="仿宋_GB2312"/>
          <w:sz w:val="32"/>
          <w:szCs w:val="32"/>
          <w:lang w:eastAsia="zh-CN"/>
        </w:rPr>
        <w:t>我单位因行政执法车辆已达报废年限，经相关部门批准置换新车一台，</w:t>
      </w:r>
      <w:r>
        <w:rPr>
          <w:rFonts w:hint="eastAsia" w:ascii="仿宋_GB2312" w:hAnsi="仿宋_GB2312" w:eastAsia="仿宋_GB2312" w:cs="仿宋_GB2312"/>
          <w:sz w:val="32"/>
          <w:szCs w:val="32"/>
          <w:lang w:val="en-US" w:eastAsia="zh-CN"/>
        </w:rPr>
        <w:t>本年度相关经费减少</w:t>
      </w:r>
      <w:r>
        <w:rPr>
          <w:rFonts w:ascii="Times New Roman" w:hAnsi="Times New Roman" w:eastAsia="仿宋_GB2312" w:cs="Times New Roman"/>
          <w:sz w:val="32"/>
          <w:szCs w:val="32"/>
        </w:rPr>
        <w:t>。</w:t>
      </w:r>
    </w:p>
    <w:p w14:paraId="1D422951">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仿宋_GB2312" w:hAnsi="仿宋_GB2312" w:eastAsia="仿宋_GB2312" w:cs="仿宋_GB2312"/>
          <w:sz w:val="32"/>
          <w:szCs w:val="32"/>
          <w:lang w:val="en-US" w:eastAsia="zh-CN"/>
        </w:rPr>
        <w:t>11.31</w:t>
      </w:r>
      <w:r>
        <w:rPr>
          <w:rFonts w:ascii="Times New Roman" w:hAnsi="Times New Roman" w:eastAsia="仿宋_GB2312" w:cs="Times New Roman"/>
          <w:sz w:val="32"/>
          <w:szCs w:val="32"/>
        </w:rPr>
        <w:t>万元，支出决算为</w:t>
      </w:r>
      <w:r>
        <w:rPr>
          <w:rFonts w:hint="eastAsia" w:ascii="仿宋_GB2312" w:hAnsi="仿宋_GB2312" w:eastAsia="仿宋_GB2312" w:cs="仿宋_GB2312"/>
          <w:sz w:val="32"/>
          <w:szCs w:val="32"/>
          <w:lang w:val="en-US" w:eastAsia="zh-CN"/>
        </w:rPr>
        <w:t>11.31</w:t>
      </w:r>
      <w:r>
        <w:rPr>
          <w:rFonts w:ascii="Times New Roman" w:hAnsi="Times New Roman" w:eastAsia="仿宋_GB2312" w:cs="Times New Roman"/>
          <w:sz w:val="32"/>
          <w:szCs w:val="32"/>
        </w:rPr>
        <w:t>万元，</w:t>
      </w:r>
    </w:p>
    <w:p w14:paraId="75A272CE">
      <w:pPr>
        <w:pStyle w:val="15"/>
        <w:overflowPunct w:val="0"/>
        <w:autoSpaceDE/>
        <w:autoSpaceDN/>
        <w:spacing w:line="600" w:lineRule="exact"/>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val="en-US" w:eastAsia="zh-CN"/>
        </w:rPr>
        <w:t>公务车维修维护费、公务车油料费、过桥过路费等</w:t>
      </w:r>
      <w:r>
        <w:rPr>
          <w:rFonts w:ascii="Times New Roman" w:hAnsi="Times New Roman" w:eastAsia="仿宋_GB2312" w:cs="Times New Roman"/>
          <w:sz w:val="32"/>
          <w:szCs w:val="32"/>
        </w:rPr>
        <w:t>支出，完成预算的</w:t>
      </w:r>
      <w:r>
        <w:rPr>
          <w:rFonts w:hint="eastAsia" w:ascii="仿宋_GB2312" w:hAnsi="仿宋_GB2312" w:eastAsia="仿宋_GB2312" w:cs="仿宋_GB2312"/>
          <w:sz w:val="32"/>
          <w:szCs w:val="32"/>
          <w:lang w:val="en-US" w:eastAsia="zh-CN"/>
        </w:rPr>
        <w:t>100%；</w:t>
      </w:r>
      <w:r>
        <w:rPr>
          <w:rFonts w:ascii="Times New Roman" w:hAnsi="Times New Roman" w:eastAsia="仿宋_GB2312" w:cs="Times New Roman"/>
          <w:sz w:val="32"/>
          <w:szCs w:val="32"/>
        </w:rPr>
        <w:t>与上年相比增加</w:t>
      </w:r>
      <w:r>
        <w:rPr>
          <w:rFonts w:hint="eastAsia" w:ascii="仿宋_GB2312" w:hAnsi="仿宋_GB2312" w:eastAsia="仿宋_GB2312" w:cs="仿宋_GB2312"/>
          <w:sz w:val="32"/>
          <w:szCs w:val="32"/>
          <w:lang w:val="en-US" w:eastAsia="zh-CN"/>
        </w:rPr>
        <w:t>2.31</w:t>
      </w:r>
      <w:r>
        <w:rPr>
          <w:rFonts w:ascii="Times New Roman" w:hAnsi="Times New Roman" w:eastAsia="仿宋_GB2312" w:cs="Times New Roman"/>
          <w:sz w:val="32"/>
          <w:szCs w:val="32"/>
        </w:rPr>
        <w:t>万元，增长</w:t>
      </w:r>
      <w:r>
        <w:rPr>
          <w:rFonts w:hint="eastAsia" w:ascii="仿宋_GB2312" w:hAnsi="仿宋_GB2312" w:eastAsia="仿宋_GB2312" w:cs="仿宋_GB2312"/>
          <w:sz w:val="32"/>
          <w:szCs w:val="32"/>
          <w:lang w:val="en-US" w:eastAsia="zh-CN"/>
        </w:rPr>
        <w:t>25.66%</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于预算数</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因机构改革市局将行政执法用车划转至我单位</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hint="eastAsia" w:ascii="仿宋_GB2312" w:hAnsi="仿宋_GB2312" w:eastAsia="仿宋_GB2312" w:cs="仿宋_GB2312"/>
          <w:sz w:val="32"/>
          <w:szCs w:val="32"/>
          <w:lang w:val="en-US" w:eastAsia="zh-CN"/>
        </w:rPr>
        <w:t>2024年12月31日</w:t>
      </w:r>
      <w:r>
        <w:rPr>
          <w:rFonts w:ascii="Times New Roman" w:hAnsi="Times New Roman" w:eastAsia="仿宋_GB2312" w:cs="Times New Roman"/>
          <w:sz w:val="32"/>
          <w:szCs w:val="32"/>
        </w:rPr>
        <w:t>，我单位开支财政拨款的公务用车保有量为</w:t>
      </w:r>
      <w:r>
        <w:rPr>
          <w:rFonts w:hint="eastAsia" w:ascii="仿宋_GB2312" w:hAnsi="仿宋_GB2312" w:eastAsia="仿宋_GB2312" w:cs="仿宋_GB2312"/>
          <w:sz w:val="32"/>
          <w:szCs w:val="32"/>
          <w:lang w:val="en-US" w:eastAsia="zh-CN"/>
        </w:rPr>
        <w:t>4</w:t>
      </w:r>
      <w:r>
        <w:rPr>
          <w:rFonts w:ascii="Times New Roman" w:hAnsi="Times New Roman" w:eastAsia="仿宋_GB2312" w:cs="Times New Roman"/>
          <w:sz w:val="32"/>
          <w:szCs w:val="32"/>
        </w:rPr>
        <w:t>辆。</w:t>
      </w:r>
    </w:p>
    <w:p w14:paraId="039328F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b/>
          <w:color w:val="auto"/>
          <w:sz w:val="32"/>
          <w:szCs w:val="32"/>
          <w:lang w:eastAsia="zh-CN"/>
        </w:rPr>
      </w:pPr>
      <w:r>
        <w:rPr>
          <w:rFonts w:ascii="Times New Roman" w:hAnsi="Times New Roman" w:eastAsia="仿宋_GB2312" w:cs="Times New Roman"/>
          <w:sz w:val="32"/>
          <w:szCs w:val="32"/>
        </w:rPr>
        <w:t>公务接待费支出预算为</w:t>
      </w:r>
      <w:r>
        <w:rPr>
          <w:rFonts w:hint="eastAsia" w:ascii="仿宋_GB2312" w:hAnsi="仿宋_GB2312" w:eastAsia="仿宋_GB2312" w:cs="仿宋_GB2312"/>
          <w:sz w:val="32"/>
          <w:szCs w:val="32"/>
          <w:lang w:val="en-US" w:eastAsia="zh-CN"/>
        </w:rPr>
        <w:t>0.71</w:t>
      </w:r>
      <w:r>
        <w:rPr>
          <w:rFonts w:ascii="Times New Roman" w:hAnsi="Times New Roman" w:eastAsia="仿宋_GB2312" w:cs="Times New Roman"/>
          <w:sz w:val="32"/>
          <w:szCs w:val="32"/>
        </w:rPr>
        <w:t>万元，支出决算为</w:t>
      </w:r>
      <w:r>
        <w:rPr>
          <w:rFonts w:hint="eastAsia" w:ascii="仿宋_GB2312" w:hAnsi="仿宋_GB2312" w:eastAsia="仿宋_GB2312" w:cs="仿宋_GB2312"/>
          <w:sz w:val="32"/>
          <w:szCs w:val="32"/>
          <w:lang w:val="en-US" w:eastAsia="zh-CN"/>
        </w:rPr>
        <w:t>0.71</w:t>
      </w:r>
      <w:r>
        <w:rPr>
          <w:rFonts w:ascii="Times New Roman" w:hAnsi="Times New Roman" w:eastAsia="仿宋_GB2312" w:cs="Times New Roman"/>
          <w:sz w:val="32"/>
          <w:szCs w:val="32"/>
        </w:rPr>
        <w:t>万元，完成预算的</w:t>
      </w:r>
      <w:r>
        <w:rPr>
          <w:rFonts w:hint="eastAsia" w:ascii="仿宋_GB2312" w:hAnsi="仿宋_GB2312" w:eastAsia="仿宋_GB2312" w:cs="仿宋_GB2312"/>
          <w:sz w:val="32"/>
          <w:szCs w:val="32"/>
          <w:lang w:val="en-US" w:eastAsia="zh-CN"/>
        </w:rPr>
        <w:t>100%；</w:t>
      </w:r>
      <w:r>
        <w:rPr>
          <w:rFonts w:ascii="Times New Roman" w:hAnsi="Times New Roman" w:eastAsia="仿宋_GB2312" w:cs="Times New Roman"/>
          <w:sz w:val="32"/>
          <w:szCs w:val="32"/>
        </w:rPr>
        <w:t>与上年相比减少</w:t>
      </w:r>
      <w:r>
        <w:rPr>
          <w:rFonts w:hint="eastAsia" w:ascii="仿宋_GB2312" w:hAnsi="仿宋_GB2312" w:eastAsia="仿宋_GB2312" w:cs="仿宋_GB2312"/>
          <w:sz w:val="32"/>
          <w:szCs w:val="32"/>
          <w:lang w:val="en-US" w:eastAsia="zh-CN"/>
        </w:rPr>
        <w:t>1.95</w:t>
      </w:r>
      <w:r>
        <w:rPr>
          <w:rFonts w:ascii="Times New Roman" w:hAnsi="Times New Roman" w:eastAsia="仿宋_GB2312" w:cs="Times New Roman"/>
          <w:sz w:val="32"/>
          <w:szCs w:val="32"/>
        </w:rPr>
        <w:t>万元，降低</w:t>
      </w:r>
      <w:r>
        <w:rPr>
          <w:rFonts w:hint="eastAsia" w:ascii="仿宋_GB2312" w:hAnsi="仿宋_GB2312" w:eastAsia="仿宋_GB2312" w:cs="仿宋_GB2312"/>
          <w:sz w:val="32"/>
          <w:szCs w:val="32"/>
          <w:lang w:val="en-US" w:eastAsia="zh-CN"/>
        </w:rPr>
        <w:t>73.31%</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于预算数</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我单位严控三公经费</w:t>
      </w:r>
      <w:r>
        <w:rPr>
          <w:rFonts w:ascii="Times New Roman" w:hAnsi="Times New Roman" w:eastAsia="仿宋_GB2312" w:cs="Times New Roman"/>
          <w:sz w:val="32"/>
          <w:szCs w:val="32"/>
        </w:rPr>
        <w:t>。</w:t>
      </w:r>
      <w:r>
        <w:rPr>
          <w:rFonts w:hint="eastAsia" w:ascii="仿宋_GB2312" w:hAnsi="仿宋_GB2312" w:eastAsia="仿宋_GB2312" w:cs="仿宋_GB2312"/>
          <w:sz w:val="32"/>
          <w:szCs w:val="32"/>
          <w:lang w:val="en-US" w:eastAsia="zh-CN"/>
        </w:rPr>
        <w:t>2024</w:t>
      </w:r>
      <w:r>
        <w:rPr>
          <w:rFonts w:ascii="Times New Roman" w:hAnsi="Times New Roman" w:eastAsia="仿宋_GB2312" w:cs="Times New Roman"/>
          <w:sz w:val="32"/>
          <w:szCs w:val="32"/>
        </w:rPr>
        <w:t>年度共接待来访团组</w:t>
      </w:r>
      <w:r>
        <w:rPr>
          <w:rFonts w:hint="eastAsia" w:ascii="仿宋_GB2312" w:hAnsi="仿宋_GB2312" w:eastAsia="仿宋_GB2312" w:cs="仿宋_GB2312"/>
          <w:sz w:val="32"/>
          <w:szCs w:val="32"/>
          <w:lang w:val="en-US" w:eastAsia="zh-CN"/>
        </w:rPr>
        <w:t>11</w:t>
      </w:r>
      <w:r>
        <w:rPr>
          <w:rFonts w:ascii="Times New Roman" w:hAnsi="Times New Roman" w:eastAsia="仿宋_GB2312" w:cs="Times New Roman"/>
          <w:sz w:val="32"/>
          <w:szCs w:val="32"/>
        </w:rPr>
        <w:t>个、来宾</w:t>
      </w:r>
      <w:r>
        <w:rPr>
          <w:rFonts w:hint="eastAsia" w:ascii="仿宋_GB2312" w:hAnsi="仿宋_GB2312" w:eastAsia="仿宋_GB2312" w:cs="仿宋_GB2312"/>
          <w:sz w:val="32"/>
          <w:szCs w:val="32"/>
          <w:lang w:val="en-US" w:eastAsia="zh-CN"/>
        </w:rPr>
        <w:t>46</w:t>
      </w:r>
      <w:r>
        <w:rPr>
          <w:rFonts w:ascii="Times New Roman" w:hAnsi="Times New Roman" w:eastAsia="仿宋_GB2312" w:cs="Times New Roman"/>
          <w:sz w:val="32"/>
          <w:szCs w:val="32"/>
        </w:rPr>
        <w:t>人次，主要是</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省厅、其他市州、各县市区调研，行政执法学习交流</w:t>
      </w:r>
      <w:r>
        <w:rPr>
          <w:rFonts w:hint="eastAsia" w:ascii="仿宋_GB2312" w:hAnsi="仿宋_GB2312" w:eastAsia="仿宋_GB2312" w:cs="仿宋_GB2312"/>
          <w:sz w:val="32"/>
          <w:szCs w:val="32"/>
        </w:rPr>
        <w:t>发生的接待支出。</w:t>
      </w:r>
    </w:p>
    <w:p w14:paraId="3D06ACE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5"/>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val="en-US" w:eastAsia="zh-CN"/>
        </w:rPr>
        <w:t>本级和所属单位均为事业单位，按照机关运行经费的口径，本年度机关运行经费为0。</w:t>
      </w:r>
    </w:p>
    <w:p w14:paraId="39684EF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5"/>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万元，支出决算为1.63万元，完成年初预算的81.5%。用于召开冬季联合执法巡航暨装备入列及水生野生动物保护科普宣传会议、第一季度农业综合行政执法工作会议、生产销售伪劣复合肥产品案工作推进会、农业农村部长江办渔政趸船建设项目竣工验收会议、机构改革转隶大会、全市十年禁渔工作推进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256</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冬季联合执法巡航暨装备入列、水生野生动物保护科普宣传工作，农业综合行政执法工作、全市十年禁渔工作推进工作安排，“生产销售伪劣复合肥产品案”工作推进，农业农村部长江办渔政趸船建设项目竣工验收，机构改革转隶人员工作部署会等</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本单位无培训费的预算和支出决算数。</w:t>
      </w:r>
    </w:p>
    <w:p w14:paraId="39C2EAB5">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278.5</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77.53</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198.8</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2.17</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278.5</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278.5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246A0DF6">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行政执法</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8</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492.68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8</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492.68</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14:paraId="46A39C16">
      <w:pPr>
        <w:overflowPunct w:val="0"/>
        <w:spacing w:line="600" w:lineRule="exact"/>
        <w:ind w:firstLine="640" w:firstLineChars="200"/>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绩效目标完成情况：</w:t>
      </w:r>
    </w:p>
    <w:p w14:paraId="430D2741">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w:t>
      </w:r>
      <w:r>
        <w:rPr>
          <w:rFonts w:hint="eastAsia" w:ascii="Times New Roman" w:hAnsi="Times New Roman" w:eastAsia="仿宋_GB2312" w:cs="黑体"/>
          <w:color w:val="000000"/>
          <w:kern w:val="0"/>
          <w:sz w:val="32"/>
          <w:szCs w:val="32"/>
          <w:lang w:val="en-US" w:eastAsia="zh-CN" w:bidi="ar-SA"/>
        </w:rPr>
        <w:t>严格预算支出管理。在支出预算编制上，根据“总量控制、计划管理”的要求从严控制工作经费一般性支出，压缩公务费开支，严格控制“三公”经费，严格按资产配置标准和审批开展政府采购，按照预算科目和专项项目资金有关规定使用财政资金，保障部门整体支出的规范化、制度化；</w:t>
      </w:r>
    </w:p>
    <w:p w14:paraId="151FDC4F">
      <w:pPr>
        <w:overflowPunct w:val="0"/>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Times New Roman" w:hAnsi="Times New Roman" w:eastAsia="仿宋_GB2312" w:cs="黑体"/>
          <w:color w:val="000000"/>
          <w:kern w:val="0"/>
          <w:sz w:val="32"/>
          <w:szCs w:val="32"/>
          <w:lang w:val="en-US" w:eastAsia="zh-CN" w:bidi="ar-SA"/>
        </w:rPr>
        <w:t>加强财务管理。按照国家法律法规，制定了单位财务、接待、执法船舶管理、车辆使用等内部控制制度，并按照制度管理和执行，防范风险，保证财政资金安全和高效运行。</w:t>
      </w:r>
    </w:p>
    <w:p w14:paraId="0F892EB7">
      <w:pPr>
        <w:keepNext w:val="0"/>
        <w:keepLines w:val="0"/>
        <w:pageBreakBefore w:val="0"/>
        <w:numPr>
          <w:ilvl w:val="0"/>
          <w:numId w:val="0"/>
        </w:numPr>
        <w:kinsoku/>
        <w:wordWrap/>
        <w:overflowPunct/>
        <w:topLinePunct w:val="0"/>
        <w:autoSpaceDE/>
        <w:autoSpaceDN/>
        <w:bidi w:val="0"/>
        <w:adjustRightInd/>
        <w:spacing w:line="64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三是</w:t>
      </w:r>
      <w:r>
        <w:rPr>
          <w:rFonts w:hint="eastAsia" w:ascii="仿宋_GB2312" w:hAnsi="仿宋_GB2312" w:eastAsia="仿宋_GB2312" w:cs="仿宋_GB2312"/>
          <w:b w:val="0"/>
          <w:bCs w:val="0"/>
          <w:sz w:val="32"/>
          <w:szCs w:val="32"/>
        </w:rPr>
        <w:t>聚焦主责主业，护航“三农”高质量发展。</w:t>
      </w:r>
    </w:p>
    <w:p w14:paraId="7B8D46BC">
      <w:pPr>
        <w:keepNext w:val="0"/>
        <w:keepLines w:val="0"/>
        <w:pageBreakBefore w:val="0"/>
        <w:numPr>
          <w:ilvl w:val="0"/>
          <w:numId w:val="0"/>
        </w:numPr>
        <w:kinsoku/>
        <w:wordWrap/>
        <w:overflowPunct/>
        <w:topLinePunct w:val="0"/>
        <w:autoSpaceDE/>
        <w:autoSpaceDN/>
        <w:bidi w:val="0"/>
        <w:adjustRightInd/>
        <w:spacing w:line="64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强力推进“十年禁渔”执法工作：根据农业农村部长江办、渔政保障中心和省农业农村厅的部署，全年度共出动执法人员2800余人次，船艇540次，车辆60余台次；检查生产养殖主体2家次，检查门店13家次；立案17起办结17起，其中普通程序9起，简易程序8起，罚款14000元。通过执法巡航，形成了强大震慑，维护了禁捕秩序，巩固了“四清四无”成果。</w:t>
      </w:r>
    </w:p>
    <w:p w14:paraId="0A61B8CD">
      <w:pPr>
        <w:overflowPunct w:val="0"/>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大力开展“湘剑”护农专项行动：召开全市农资打假部署会，在全市范围内启动农资打假整治行动，出动执法人员60余人，检查了中心城区农资店铺52家，发现5家店铺存在相关问题。并在全市范围内开展春季“湘剑”护农交叉执法检查，发现问题线索24条，现场交办属地县执法大队限期查处。</w:t>
      </w:r>
    </w:p>
    <w:p w14:paraId="47EECE15">
      <w:pPr>
        <w:overflowPunct w:val="0"/>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扎实开展农产品质量安全执法行动：制定了《岳阳市中心城区生猪屠宰和肉类市场整治联合执法方案》。与公安联合进行私屠滥宰“静风行动”，我支队联合市市场监督管理局、市公安局等部门，共组织40余名执法力量，对我市中心城区农贸市场开展畜产品质量安全执法检查。</w:t>
      </w:r>
    </w:p>
    <w:p w14:paraId="0E00D0FB">
      <w:pPr>
        <w:overflowPunct w:val="0"/>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加强执法能力建设培训：参加了省厅组织的三期行政执法能力提升线上培训，组织开展了4期全市农业综合行政执法业务培训。培训邀请了省市农业领域不同专业的专家进行授课，课程围绕依法治国理论、农业行政执法等主题设置，培训贴近基层执法实际，适应执法需求，进一步提升了执法人员业务水平。</w:t>
      </w:r>
    </w:p>
    <w:p w14:paraId="158030D4">
      <w:pPr>
        <w:numPr>
          <w:ilvl w:val="0"/>
          <w:numId w:val="0"/>
        </w:numPr>
        <w:overflowPunct w:val="0"/>
        <w:spacing w:line="600" w:lineRule="exact"/>
        <w:ind w:firstLine="640" w:firstLineChars="200"/>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highlight w:val="none"/>
          <w:lang w:val="en-US" w:eastAsia="zh-CN"/>
        </w:rPr>
        <w:t>2.</w:t>
      </w:r>
      <w:r>
        <w:rPr>
          <w:rFonts w:hint="eastAsia" w:ascii="Times New Roman" w:hAnsi="Times New Roman" w:eastAsia="仿宋_GB2312" w:cs="Times New Roman"/>
          <w:b/>
          <w:bCs/>
          <w:kern w:val="0"/>
          <w:sz w:val="32"/>
          <w:szCs w:val="32"/>
          <w:highlight w:val="none"/>
          <w:lang w:val="en-US" w:eastAsia="zh-CN"/>
        </w:rPr>
        <w:t>部门评价开展情况</w:t>
      </w:r>
      <w:r>
        <w:rPr>
          <w:rFonts w:ascii="Times New Roman" w:hAnsi="Times New Roman" w:eastAsia="仿宋_GB2312" w:cs="Times New Roman"/>
          <w:b/>
          <w:bCs/>
          <w:kern w:val="0"/>
          <w:sz w:val="32"/>
          <w:szCs w:val="32"/>
        </w:rPr>
        <w:t>。</w:t>
      </w:r>
      <w:r>
        <w:rPr>
          <w:rFonts w:hint="eastAsia" w:ascii="Times New Roman" w:hAnsi="Times New Roman" w:eastAsia="仿宋_GB2312" w:cs="Times New Roman"/>
          <w:kern w:val="0"/>
          <w:sz w:val="32"/>
          <w:szCs w:val="32"/>
          <w:lang w:val="en-US" w:eastAsia="zh-CN"/>
        </w:rPr>
        <w:t>本单位为二级预算单位，部门评价开展情况可详见上级部门决算公开说明。</w:t>
      </w:r>
    </w:p>
    <w:p w14:paraId="004D01B3">
      <w:pPr>
        <w:numPr>
          <w:ilvl w:val="0"/>
          <w:numId w:val="0"/>
        </w:num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lang w:val="en-US" w:eastAsia="zh-CN"/>
        </w:rPr>
        <w:t>本单位为二级预算单位，事前绩效评估开展情况可详见上级部门决算公开说明</w:t>
      </w:r>
      <w:r>
        <w:rPr>
          <w:rFonts w:ascii="Times New Roman" w:hAnsi="Times New Roman" w:eastAsia="仿宋_GB2312" w:cs="Times New Roman"/>
          <w:kern w:val="0"/>
          <w:sz w:val="32"/>
          <w:szCs w:val="32"/>
        </w:rPr>
        <w:t>。</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688938A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kern w:val="0"/>
          <w:sz w:val="32"/>
          <w:szCs w:val="32"/>
          <w:lang w:val="en-US" w:eastAsia="zh-CN"/>
        </w:rPr>
        <w:t>1484.79</w:t>
      </w:r>
      <w:r>
        <w:rPr>
          <w:rFonts w:ascii="Times New Roman" w:hAnsi="Times New Roman" w:eastAsia="仿宋_GB2312" w:cs="Times New Roman"/>
          <w:sz w:val="32"/>
          <w:szCs w:val="32"/>
        </w:rPr>
        <w:t>万元，执行数</w:t>
      </w:r>
      <w:r>
        <w:rPr>
          <w:rFonts w:hint="eastAsia" w:ascii="Times New Roman" w:hAnsi="Times New Roman" w:eastAsia="仿宋_GB2312" w:cs="Times New Roman"/>
          <w:kern w:val="0"/>
          <w:sz w:val="32"/>
          <w:szCs w:val="32"/>
          <w:lang w:val="en-US" w:eastAsia="zh-CN"/>
        </w:rPr>
        <w:t xml:space="preserve">1376.39 </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kern w:val="0"/>
          <w:sz w:val="32"/>
          <w:szCs w:val="32"/>
          <w:lang w:val="en-US" w:eastAsia="zh-CN"/>
        </w:rPr>
        <w:t>92.7</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97.27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p>
    <w:p w14:paraId="6352E79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绩效目标完成情况：一是</w:t>
      </w:r>
      <w:r>
        <w:rPr>
          <w:rFonts w:hint="eastAsia" w:ascii="仿宋_GB2312" w:hAnsi="仿宋_GB2312" w:eastAsia="仿宋_GB2312" w:cs="仿宋_GB2312"/>
          <w:b w:val="0"/>
          <w:bCs w:val="0"/>
          <w:sz w:val="32"/>
          <w:szCs w:val="32"/>
          <w:lang w:val="en-US" w:eastAsia="zh-CN"/>
        </w:rPr>
        <w:t>强力推进“十年禁渔”执法工作，立案17起办结17起，通过执法巡航，形成了强大震慑，维护了禁捕秩序，并</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以“守护一江碧水  共促生态文明”为主题的2024年湖南省珍贵濒危水生生物增殖放流活动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lang w:val="en-US" w:eastAsia="zh-CN" w:bidi="ar"/>
        </w:rPr>
        <w:t>有效恢复了洞庭湖鱼类种群数量，改善和优化渔业鱼种结构</w:t>
      </w:r>
      <w:r>
        <w:rPr>
          <w:rFonts w:ascii="Times New Roman" w:hAnsi="Times New Roman" w:eastAsia="仿宋_GB2312" w:cs="Times New Roman"/>
          <w:sz w:val="32"/>
          <w:szCs w:val="32"/>
        </w:rPr>
        <w:t>；二是</w:t>
      </w:r>
      <w:r>
        <w:rPr>
          <w:rFonts w:hint="eastAsia" w:ascii="仿宋_GB2312" w:hAnsi="仿宋_GB2312" w:eastAsia="仿宋_GB2312" w:cs="仿宋_GB2312"/>
          <w:b w:val="0"/>
          <w:bCs w:val="0"/>
          <w:sz w:val="32"/>
          <w:szCs w:val="32"/>
          <w:lang w:val="en-US" w:eastAsia="zh-CN"/>
        </w:rPr>
        <w:t>大力开展“湘剑”护农专项行动，</w:t>
      </w:r>
      <w:r>
        <w:rPr>
          <w:rFonts w:hint="eastAsia" w:ascii="仿宋_GB2312" w:hAnsi="仿宋_GB2312" w:eastAsia="仿宋_GB2312" w:cs="仿宋_GB2312"/>
          <w:sz w:val="32"/>
          <w:szCs w:val="32"/>
        </w:rPr>
        <w:t>在屈原管理区发现有劣质肥料销售，联合公安</w:t>
      </w:r>
      <w:r>
        <w:rPr>
          <w:rFonts w:hint="eastAsia" w:ascii="仿宋_GB2312" w:hAnsi="仿宋_GB2312" w:eastAsia="仿宋_GB2312" w:cs="仿宋_GB2312"/>
          <w:sz w:val="32"/>
          <w:szCs w:val="32"/>
          <w:lang w:eastAsia="zh-CN"/>
        </w:rPr>
        <w:t>机关开展</w:t>
      </w:r>
      <w:r>
        <w:rPr>
          <w:rFonts w:hint="eastAsia" w:ascii="仿宋_GB2312" w:hAnsi="仿宋_GB2312" w:eastAsia="仿宋_GB2312" w:cs="仿宋_GB2312"/>
          <w:sz w:val="32"/>
          <w:szCs w:val="32"/>
        </w:rPr>
        <w:t>行动，对销售、生产犯罪嫌疑人采取了刑事强制措施，</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对湖北随州涉案生产厂家进行查封，因涉案金额较多、地方较广，公安</w:t>
      </w:r>
      <w:r>
        <w:rPr>
          <w:rFonts w:hint="eastAsia" w:ascii="仿宋_GB2312" w:hAnsi="仿宋_GB2312" w:eastAsia="仿宋_GB2312" w:cs="仿宋_GB2312"/>
          <w:sz w:val="32"/>
          <w:szCs w:val="32"/>
          <w:lang w:eastAsia="zh-CN"/>
        </w:rPr>
        <w:t>机关</w:t>
      </w:r>
      <w:r>
        <w:rPr>
          <w:rFonts w:hint="eastAsia" w:ascii="仿宋_GB2312" w:hAnsi="仿宋_GB2312" w:eastAsia="仿宋_GB2312" w:cs="仿宋_GB2312"/>
          <w:sz w:val="32"/>
          <w:szCs w:val="32"/>
        </w:rPr>
        <w:t>正在申请部、省督办案件</w:t>
      </w:r>
      <w:r>
        <w:rPr>
          <w:rFonts w:hint="eastAsia" w:ascii="仿宋_GB2312" w:hAnsi="仿宋_GB2312" w:eastAsia="仿宋_GB2312" w:cs="仿宋_GB2312"/>
          <w:b w:val="0"/>
          <w:bCs w:val="0"/>
          <w:sz w:val="32"/>
          <w:szCs w:val="32"/>
          <w:lang w:val="en-US" w:eastAsia="zh-CN"/>
        </w:rPr>
        <w:t>；三是开展农产品质量安全执法行动，与公安、市场监督管理局联合进行私屠滥宰“静风行动”，</w:t>
      </w:r>
      <w:r>
        <w:rPr>
          <w:rFonts w:hint="eastAsia" w:ascii="仿宋_GB2312" w:hAnsi="仿宋_GB2312" w:eastAsia="仿宋_GB2312" w:cs="仿宋_GB2312"/>
          <w:sz w:val="32"/>
          <w:szCs w:val="32"/>
          <w:vertAlign w:val="baseline"/>
          <w:lang w:val="en-US" w:eastAsia="zh-CN"/>
        </w:rPr>
        <w:t>排查问题隐患5个，现场查获未经检验检疫的“白板肉”300余公斤；四是</w:t>
      </w:r>
      <w:r>
        <w:rPr>
          <w:rFonts w:hint="eastAsia" w:ascii="仿宋_GB2312" w:hAnsi="仿宋_GB2312" w:eastAsia="仿宋_GB2312" w:cs="仿宋_GB2312"/>
          <w:b w:val="0"/>
          <w:bCs w:val="0"/>
          <w:sz w:val="32"/>
          <w:szCs w:val="32"/>
          <w:lang w:val="en-US" w:eastAsia="zh-CN"/>
        </w:rPr>
        <w:t>加强执法能力建设培训，围绕依法治国理论、农业行政执法等主题设置，培训贴近基层执法实际，</w:t>
      </w:r>
      <w:r>
        <w:rPr>
          <w:rFonts w:hint="eastAsia" w:ascii="Times New Roman" w:hAnsi="Times New Roman" w:eastAsia="仿宋_GB2312" w:cs="Times New Roman"/>
          <w:sz w:val="32"/>
          <w:szCs w:val="32"/>
          <w:lang w:val="en-US" w:eastAsia="zh-CN"/>
        </w:rPr>
        <w:t>适应执法需求，进一步提升了执法人员业务水平</w:t>
      </w:r>
      <w:r>
        <w:rPr>
          <w:rFonts w:ascii="Times New Roman" w:hAnsi="Times New Roman" w:eastAsia="仿宋_GB2312" w:cs="Times New Roman"/>
          <w:sz w:val="32"/>
          <w:szCs w:val="32"/>
        </w:rPr>
        <w:t>。</w:t>
      </w:r>
    </w:p>
    <w:p w14:paraId="2D515D2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val="en-US" w:eastAsia="zh-CN"/>
        </w:rPr>
        <w:t>一是预算编制及执行有偏差。年初编制预算时由于部门公共项目资金及上级转移支付资金未明确，未纳年初部门预算编制，而实际执行中，这部分资金都是年中追加的，导致预算编制数及实际执行数存在较大的偏差，专项支出指标有互相调剂情况；二是绩效目标设置不够明晰。通过绩效自评发现部门整体支出绩效目标设置不够明晰、不够细化，与单位业务工作联系不够紧密，绩效目标设置缺乏清晰性及可衡量性，定性目标为多，定量目标相对少，项目实施验收后难以明显评估成效；三是政府采购预算编制不够精准。</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sz w:val="32"/>
          <w:szCs w:val="32"/>
        </w:rPr>
        <w:t>下一步改进措施：一是</w:t>
      </w:r>
      <w:r>
        <w:rPr>
          <w:rFonts w:hint="eastAsia" w:ascii="仿宋_GB2312" w:hAnsi="仿宋_GB2312" w:eastAsia="仿宋_GB2312" w:cs="仿宋_GB2312"/>
          <w:b w:val="0"/>
          <w:bCs w:val="0"/>
          <w:sz w:val="32"/>
          <w:szCs w:val="32"/>
          <w:lang w:val="en-US" w:eastAsia="zh-CN"/>
        </w:rPr>
        <w:t>严格按照要求编制和执行降低偏差率</w:t>
      </w:r>
      <w:r>
        <w:rPr>
          <w:rFonts w:ascii="Times New Roman" w:hAnsi="Times New Roman" w:eastAsia="仿宋_GB2312" w:cs="Times New Roman"/>
          <w:sz w:val="32"/>
          <w:szCs w:val="32"/>
        </w:rPr>
        <w:t>；二是</w:t>
      </w:r>
      <w:r>
        <w:rPr>
          <w:rFonts w:hint="eastAsia" w:ascii="仿宋_GB2312" w:hAnsi="仿宋_GB2312" w:eastAsia="仿宋_GB2312" w:cs="仿宋_GB2312"/>
          <w:b w:val="0"/>
          <w:bCs w:val="0"/>
          <w:sz w:val="32"/>
          <w:szCs w:val="32"/>
          <w:lang w:val="en-US" w:eastAsia="zh-CN"/>
        </w:rPr>
        <w:t>进一步细化绩效目标，加强与单位业务工作联系，争取设置更清晰及可衡量的目标值；三是根据近三年的政府采购指标以及下一年度的工作目标，科学合理编制政府采购预算</w:t>
      </w:r>
      <w:r>
        <w:rPr>
          <w:rFonts w:ascii="Times New Roman" w:hAnsi="Times New Roman" w:eastAsia="仿宋_GB2312" w:cs="Times New Roman"/>
          <w:sz w:val="32"/>
          <w:szCs w:val="32"/>
        </w:rPr>
        <w:t>。</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kern w:val="0"/>
          <w:sz w:val="32"/>
          <w:szCs w:val="32"/>
          <w:highlight w:val="none"/>
          <w:lang w:val="en-US" w:eastAsia="zh-CN"/>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rPr>
        <w:t>本单位为二级预算单位，事前绩效评估结果可详见上级部门决算公开说明。</w:t>
      </w:r>
    </w:p>
    <w:p w14:paraId="2C89E516">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15E7B984">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根据2024年度绩效自评、部门评价及事前绩效评价结果，本单位对2025年预算安排、支出结构、资金管理及制度建设等方面进行了优化调整，现将结果运用情况简要说明如下：</w:t>
      </w:r>
    </w:p>
    <w:p w14:paraId="1E853A6F">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一、 2025年预算安排</w:t>
      </w:r>
    </w:p>
    <w:p w14:paraId="43DD665C">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1. 强化重点项目保障： 对绩效评价结果优良、与核心职责（如</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十年禁渔</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rPr>
        <w:t>农资打假、农产品质量安全监管、</w:t>
      </w:r>
      <w:r>
        <w:rPr>
          <w:rFonts w:hint="eastAsia" w:ascii="Times New Roman" w:hAnsi="Times New Roman" w:eastAsia="仿宋_GB2312" w:cs="Times New Roman"/>
          <w:color w:val="auto"/>
          <w:sz w:val="32"/>
          <w:szCs w:val="32"/>
          <w:highlight w:val="none"/>
          <w:lang w:val="en-US" w:eastAsia="zh-CN"/>
        </w:rPr>
        <w:t>动物</w:t>
      </w:r>
      <w:r>
        <w:rPr>
          <w:rFonts w:hint="eastAsia" w:ascii="Times New Roman" w:hAnsi="Times New Roman" w:eastAsia="仿宋_GB2312" w:cs="Times New Roman"/>
          <w:color w:val="auto"/>
          <w:sz w:val="32"/>
          <w:szCs w:val="32"/>
          <w:highlight w:val="none"/>
        </w:rPr>
        <w:t>检疫执法等）关联度高、群众满意度高的项目，在2025年预算中予以优先和重点保障，适度增加资金投入，确保执法效能持续提升。</w:t>
      </w:r>
    </w:p>
    <w:p w14:paraId="1CC9C2C7">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2. 优化项目支出结构： 根据评价结果，调整不同项目间的资金分配。对效益显著、产出明确的项目，保持或增加预算支持；对执行进度缓慢、效益未达预期或评价中发现问题的项目，在2025年预算中予以调减或取消，将资金重新配置到更急需、更有效的领域。</w:t>
      </w:r>
    </w:p>
    <w:p w14:paraId="7E14A014">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3. 增强预算编制依据： 将各类绩效评价结果作为2025年预算编制的重要依据，使预算安排更加贴近实际需求与预期绩效目标，提高预算编制的科学性、精准性和合理性。</w:t>
      </w:r>
    </w:p>
    <w:p w14:paraId="2A286ED2">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二、 支出结构调整</w:t>
      </w:r>
    </w:p>
    <w:p w14:paraId="0C145C84">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 xml:space="preserve">1. </w:t>
      </w:r>
      <w:r>
        <w:rPr>
          <w:rFonts w:hint="eastAsia" w:ascii="Times New Roman" w:hAnsi="Times New Roman" w:eastAsia="仿宋_GB2312" w:cs="Times New Roman"/>
          <w:color w:val="auto"/>
          <w:sz w:val="32"/>
          <w:szCs w:val="32"/>
          <w:highlight w:val="none"/>
        </w:rPr>
        <w:t>保障重点领域投入： 将压减无效低效支出腾出的资金，用于加强执法装备购置与更新、执法技能培训、信息化建设（如智慧执法平台）、重大专项执法行动等评价结果好、需求迫切的重点领域，优化整体支出结构，确保资金用在“刀刃”上。</w:t>
      </w:r>
    </w:p>
    <w:p w14:paraId="7889AB8D">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rPr>
        <w:t>. 规范日常运行支出： 结合评价中发现的日常公用经费使用和管理中的薄弱环节，进一步规范支出标准，强化成本控制，提升运行效率。</w:t>
      </w:r>
    </w:p>
    <w:p w14:paraId="42A5F6DA">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三、 资金管理优化</w:t>
      </w:r>
    </w:p>
    <w:p w14:paraId="6893E746">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1. 强化执行监控与预警： 在2025年工作中，将加强预算执行动态监控，建立预警机制，加快支出进度，提高资金使用效率。</w:t>
      </w:r>
    </w:p>
    <w:p w14:paraId="2A4797B8">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2. 完善绩效激励约束机制： 探索将绩效评价结果与后续资金安排、评优评先等更紧密挂钩，对绩效差的进行督促整改乃至问责，形成“讲绩效、重绩效、用绩效”的资金管理氛围。</w:t>
      </w:r>
    </w:p>
    <w:p w14:paraId="662C206C">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3. 提升管理精细化水平： 依据评价结果反映的管理需求，进一步细化资金管理流程，明确责任分工，确保资金安全、规范、有效使用。</w:t>
      </w:r>
    </w:p>
    <w:p w14:paraId="7C9C2912">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四、 制度体系建设</w:t>
      </w:r>
    </w:p>
    <w:p w14:paraId="43FA688E">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1. 完善内部绩效管理制度： 根据年度各类绩效评价实践和经验，修订和完善本支队内部的预算绩效管理办法实施细则。</w:t>
      </w:r>
    </w:p>
    <w:p w14:paraId="0B85B01A">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2. 健全相关配套制度： 针对评价中暴露出的管理短板（如资产管理与预算结合不紧、采购流程需优化等），修订或制定相应的财务、资产、采购等内部管理制度，强化制度间的协同性，提升整体管理效能。</w:t>
      </w:r>
    </w:p>
    <w:p w14:paraId="5C64DECD">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3. 强化结果应用刚性约束： 在制度层面进一步明确和固化绩效评价结果的应用要求、程序和责任，确保绩效评价结果真正成为预算安排、政策调整和改进管理的重要依据，形成长效管理机制。</w:t>
      </w:r>
    </w:p>
    <w:p w14:paraId="2E1CBAA7">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本单位高度重视2024年度各项绩效评价结果，并将其切实应用于2025年及今后的预算编制、结构调整、资金管理和制度建设中，旨在不断提升财政资源配置效率和使用效益，全面提高农业综合行政执法工作的效能与水平。</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2"/>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7E06D0">
      <w:pPr>
        <w:pStyle w:val="15"/>
        <w:jc w:val="both"/>
        <w:rPr>
          <w:rFonts w:hint="eastAsia" w:ascii="方正小标宋_GBK" w:hAnsi="方正小标宋_GBK" w:eastAsia="方正小标宋_GBK" w:cs="方正小标宋_GBK"/>
          <w:sz w:val="24"/>
          <w:szCs w:val="24"/>
        </w:rPr>
      </w:pPr>
    </w:p>
    <w:p w14:paraId="3D83FDA1">
      <w:pPr>
        <w:pStyle w:val="15"/>
        <w:jc w:val="center"/>
        <w:rPr>
          <w:rFonts w:hint="eastAsia" w:ascii="方正小标宋_GBK" w:hAnsi="方正小标宋_GBK" w:eastAsia="方正小标宋_GBK" w:cs="方正小标宋_GBK"/>
          <w:sz w:val="72"/>
          <w:szCs w:val="72"/>
        </w:rPr>
      </w:pPr>
    </w:p>
    <w:p w14:paraId="6FB6F211">
      <w:pPr>
        <w:pStyle w:val="15"/>
        <w:jc w:val="center"/>
        <w:rPr>
          <w:rFonts w:hint="eastAsia" w:ascii="方正小标宋_GBK" w:hAnsi="方正小标宋_GBK" w:eastAsia="方正小标宋_GBK" w:cs="方正小标宋_GBK"/>
          <w:sz w:val="72"/>
          <w:szCs w:val="72"/>
        </w:rPr>
      </w:pPr>
    </w:p>
    <w:p w14:paraId="3A01B6B0">
      <w:pPr>
        <w:pStyle w:val="15"/>
        <w:jc w:val="center"/>
        <w:rPr>
          <w:rFonts w:hint="eastAsia" w:ascii="方正小标宋_GBK" w:hAnsi="方正小标宋_GBK" w:eastAsia="方正小标宋_GBK" w:cs="方正小标宋_GBK"/>
          <w:sz w:val="72"/>
          <w:szCs w:val="72"/>
        </w:rPr>
      </w:pPr>
    </w:p>
    <w:p w14:paraId="475C1000">
      <w:pPr>
        <w:pStyle w:val="15"/>
        <w:jc w:val="center"/>
        <w:rPr>
          <w:rFonts w:hint="eastAsia" w:ascii="方正小标宋_GBK" w:hAnsi="方正小标宋_GBK" w:eastAsia="方正小标宋_GBK" w:cs="方正小标宋_GBK"/>
          <w:sz w:val="72"/>
          <w:szCs w:val="72"/>
        </w:rPr>
      </w:pPr>
    </w:p>
    <w:p w14:paraId="6A5A782C">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6"/>
      </w:pPr>
    </w:p>
    <w:p w14:paraId="2CCAD852"/>
    <w:p w14:paraId="440E89DF">
      <w:pPr>
        <w:pStyle w:val="2"/>
      </w:pPr>
    </w:p>
    <w:p w14:paraId="645B9B76">
      <w:pPr>
        <w:pStyle w:val="6"/>
      </w:pPr>
    </w:p>
    <w:p w14:paraId="539F25AC"/>
    <w:p w14:paraId="47AFAB8F">
      <w:pPr>
        <w:pStyle w:val="2"/>
      </w:pPr>
    </w:p>
    <w:p w14:paraId="479D6353">
      <w:pPr>
        <w:pStyle w:val="6"/>
      </w:pPr>
    </w:p>
    <w:p w14:paraId="648103ED"/>
    <w:p w14:paraId="08A5EA8F">
      <w:pPr>
        <w:pStyle w:val="2"/>
      </w:pPr>
    </w:p>
    <w:p w14:paraId="3FD0BAB6">
      <w:pPr>
        <w:pStyle w:val="6"/>
      </w:pPr>
    </w:p>
    <w:p w14:paraId="1CAE18D7"/>
    <w:p w14:paraId="5994BDDC">
      <w:pPr>
        <w:pStyle w:val="2"/>
      </w:pPr>
    </w:p>
    <w:p w14:paraId="51F60F8D">
      <w:pPr>
        <w:pStyle w:val="6"/>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4FD5CDEF">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14:paraId="66FF543F">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14:paraId="1A93CCC6">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14:paraId="1C5B5D49">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14:paraId="7D4BEEBC">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14:paraId="7AC4286E">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14:paraId="5B36BAB1">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A82C05B">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14:paraId="04CDEC7D">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14:paraId="53F0FC3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14:paraId="628FCC38">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14:paraId="305A89E2">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14:paraId="54E3FF38">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14:paraId="4B9ED652">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14:paraId="4C0574C3">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14:paraId="5F9349BC">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14:paraId="66562AB6">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3BAB289">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3E7FA102">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301C6195">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14:paraId="3E20E5E6">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7045E505">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14:paraId="787A7E19">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14:paraId="2C11992C">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14:paraId="7DDA74B4">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14:paraId="0D000E43">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14:paraId="3A510F78">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14:paraId="68EAD48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14:paraId="4013F21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14:paraId="30A9395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14:paraId="3889B4CB">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79D6DD4F">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14:paraId="3E5242EE">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14:paraId="6A07248F">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14:paraId="11D75954">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14:paraId="09B22D48">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14:paraId="1B5A4511">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14:paraId="3E210F9D">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14:paraId="14D1CDB5">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14:paraId="3C12F5D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14:paraId="46660E46">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14:paraId="04180E3B">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14:paraId="54E07A1F">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14:paraId="0F13B9FB">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14:paraId="1329F2B9">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52BB2560">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14:paraId="6A4B1404">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14:paraId="3F34C89F">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14:paraId="6A7B3CC1">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14:paraId="21BCF03B">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14:paraId="6E208316">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14:paraId="17522555">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14:paraId="1DA64683">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14:paraId="2C9171F7">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14:paraId="29846EFC">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14:paraId="025CB91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14:paraId="1B15FA3B">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14:paraId="20E03DE8">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14:paraId="7F4A5AB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417AEC7C">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2BE753E1">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14:paraId="5C5971F9">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14:paraId="6F557F9A">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14:paraId="73AD839D">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14:paraId="77D322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5"/>
        <w:jc w:val="center"/>
        <w:rPr>
          <w:rFonts w:hint="eastAsia" w:ascii="仿宋_GB2312" w:hAnsi="仿宋_GB2312" w:eastAsia="仿宋_GB2312" w:cs="仿宋_GB2312"/>
          <w:sz w:val="32"/>
          <w:szCs w:val="32"/>
        </w:rPr>
      </w:pPr>
    </w:p>
    <w:p w14:paraId="1D47518A">
      <w:pPr>
        <w:pStyle w:val="6"/>
      </w:pPr>
    </w:p>
    <w:p w14:paraId="580CF8E4"/>
    <w:p w14:paraId="0C17744C">
      <w:pPr>
        <w:pStyle w:val="2"/>
      </w:pPr>
    </w:p>
    <w:p w14:paraId="7B8BABF4">
      <w:pPr>
        <w:pStyle w:val="6"/>
      </w:pPr>
    </w:p>
    <w:p w14:paraId="1942C0DC"/>
    <w:p w14:paraId="6E2D1EEF">
      <w:pPr>
        <w:pStyle w:val="2"/>
      </w:pPr>
    </w:p>
    <w:p w14:paraId="5F6ABC3B">
      <w:pPr>
        <w:pStyle w:val="6"/>
      </w:pPr>
    </w:p>
    <w:p w14:paraId="51BE6437"/>
    <w:p w14:paraId="05344CBA">
      <w:pPr>
        <w:pStyle w:val="2"/>
      </w:pPr>
    </w:p>
    <w:p w14:paraId="29230CAD">
      <w:pPr>
        <w:pStyle w:val="6"/>
        <w:ind w:left="0" w:leftChars="0" w:firstLine="0" w:firstLineChars="0"/>
      </w:pPr>
      <w:bookmarkStart w:id="0" w:name="_GoBack"/>
      <w:bookmarkEnd w:id="0"/>
    </w:p>
    <w:p w14:paraId="724E0A54"/>
    <w:p w14:paraId="496F732E">
      <w:pPr>
        <w:pStyle w:val="2"/>
      </w:pPr>
    </w:p>
    <w:p w14:paraId="354ECFD8">
      <w:pPr>
        <w:pStyle w:val="6"/>
      </w:pPr>
    </w:p>
    <w:p w14:paraId="51C67B38"/>
    <w:p w14:paraId="4D131F3E"/>
    <w:p w14:paraId="7CFBCE3C">
      <w:pPr>
        <w:pStyle w:val="2"/>
      </w:pPr>
    </w:p>
    <w:p w14:paraId="5C3DE094">
      <w:pPr>
        <w:pStyle w:val="15"/>
        <w:jc w:val="both"/>
        <w:rPr>
          <w:rFonts w:hint="eastAsia" w:ascii="方正小标宋_GBK" w:hAnsi="方正小标宋_GBK" w:eastAsia="方正小标宋_GBK" w:cs="方正小标宋_GBK"/>
          <w:sz w:val="72"/>
          <w:szCs w:val="72"/>
        </w:rPr>
      </w:pPr>
    </w:p>
    <w:p w14:paraId="0C1858E3">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5"/>
        <w:jc w:val="both"/>
        <w:rPr>
          <w:rFonts w:hint="eastAsia" w:ascii="方正小标宋_GBK" w:hAnsi="方正小标宋_GBK" w:eastAsia="方正小标宋_GBK" w:cs="方正小标宋_GBK"/>
          <w:sz w:val="70"/>
          <w:szCs w:val="70"/>
          <w:lang w:eastAsia="zh-CN"/>
        </w:rPr>
      </w:pPr>
    </w:p>
    <w:p w14:paraId="490142D3">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E82F38D"/>
    <w:multiLevelType w:val="singleLevel"/>
    <w:tmpl w:val="3E82F38D"/>
    <w:lvl w:ilvl="0" w:tentative="0">
      <w:start w:val="7"/>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61183"/>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EA40E8"/>
    <w:rsid w:val="00F74360"/>
    <w:rsid w:val="00FB462F"/>
    <w:rsid w:val="00FE16FA"/>
    <w:rsid w:val="00FE328A"/>
    <w:rsid w:val="00FE6269"/>
    <w:rsid w:val="00FF5CD6"/>
    <w:rsid w:val="059958AD"/>
    <w:rsid w:val="06C857E7"/>
    <w:rsid w:val="08C24A73"/>
    <w:rsid w:val="0D044784"/>
    <w:rsid w:val="0F2A5FF8"/>
    <w:rsid w:val="11944E2C"/>
    <w:rsid w:val="12583BA5"/>
    <w:rsid w:val="13160B73"/>
    <w:rsid w:val="13BA5B9C"/>
    <w:rsid w:val="16526560"/>
    <w:rsid w:val="1BF12377"/>
    <w:rsid w:val="1D97DEFF"/>
    <w:rsid w:val="1DFF72E5"/>
    <w:rsid w:val="1EFC6F07"/>
    <w:rsid w:val="1F0527A6"/>
    <w:rsid w:val="1FDB00B5"/>
    <w:rsid w:val="22AC03C2"/>
    <w:rsid w:val="22C205C9"/>
    <w:rsid w:val="245416F5"/>
    <w:rsid w:val="249146F7"/>
    <w:rsid w:val="25A14A69"/>
    <w:rsid w:val="26753BA5"/>
    <w:rsid w:val="283B15FE"/>
    <w:rsid w:val="2B361B54"/>
    <w:rsid w:val="2D1E55A7"/>
    <w:rsid w:val="2F5B427F"/>
    <w:rsid w:val="2FDF85B8"/>
    <w:rsid w:val="2FFFEE04"/>
    <w:rsid w:val="300A3713"/>
    <w:rsid w:val="300C7328"/>
    <w:rsid w:val="309F3B16"/>
    <w:rsid w:val="31C95635"/>
    <w:rsid w:val="34B306BA"/>
    <w:rsid w:val="34DF85B0"/>
    <w:rsid w:val="38D96215"/>
    <w:rsid w:val="390F6F0E"/>
    <w:rsid w:val="3B5F0C53"/>
    <w:rsid w:val="3B8F36BC"/>
    <w:rsid w:val="3BB41FE9"/>
    <w:rsid w:val="3C0156F7"/>
    <w:rsid w:val="40ED448D"/>
    <w:rsid w:val="43EB5BA5"/>
    <w:rsid w:val="44E87F0C"/>
    <w:rsid w:val="450D57AE"/>
    <w:rsid w:val="45941E41"/>
    <w:rsid w:val="46A24267"/>
    <w:rsid w:val="491FF225"/>
    <w:rsid w:val="4D135D42"/>
    <w:rsid w:val="4DAB5F7A"/>
    <w:rsid w:val="4DE82D2A"/>
    <w:rsid w:val="4DEF230B"/>
    <w:rsid w:val="4EC310A1"/>
    <w:rsid w:val="4F032DCC"/>
    <w:rsid w:val="4F94016E"/>
    <w:rsid w:val="4F9C3DCC"/>
    <w:rsid w:val="4FBF7ABB"/>
    <w:rsid w:val="4FFD214C"/>
    <w:rsid w:val="507D620E"/>
    <w:rsid w:val="5352765A"/>
    <w:rsid w:val="576A2A02"/>
    <w:rsid w:val="576C5384"/>
    <w:rsid w:val="5777D4F5"/>
    <w:rsid w:val="57F22B6F"/>
    <w:rsid w:val="59DD8326"/>
    <w:rsid w:val="59F111B9"/>
    <w:rsid w:val="5B7919CE"/>
    <w:rsid w:val="5DEF592A"/>
    <w:rsid w:val="5E115985"/>
    <w:rsid w:val="5F3A7DA0"/>
    <w:rsid w:val="5FC6BB1E"/>
    <w:rsid w:val="5FF720F1"/>
    <w:rsid w:val="622964C1"/>
    <w:rsid w:val="66482160"/>
    <w:rsid w:val="67FF5C0B"/>
    <w:rsid w:val="6ACB4B63"/>
    <w:rsid w:val="6BAA4A2F"/>
    <w:rsid w:val="6DDEC5C0"/>
    <w:rsid w:val="6EFC0924"/>
    <w:rsid w:val="6FB74722"/>
    <w:rsid w:val="6FEF8B7E"/>
    <w:rsid w:val="71080E6A"/>
    <w:rsid w:val="717FE77F"/>
    <w:rsid w:val="71A6591B"/>
    <w:rsid w:val="71F04E08"/>
    <w:rsid w:val="737D59BA"/>
    <w:rsid w:val="737F32B1"/>
    <w:rsid w:val="73BD3FCA"/>
    <w:rsid w:val="74FD0D8D"/>
    <w:rsid w:val="776BDA01"/>
    <w:rsid w:val="77C37683"/>
    <w:rsid w:val="79750B98"/>
    <w:rsid w:val="79FF515B"/>
    <w:rsid w:val="7A724F87"/>
    <w:rsid w:val="7C782810"/>
    <w:rsid w:val="7DFBFF20"/>
    <w:rsid w:val="7E0E55E6"/>
    <w:rsid w:val="7E9E1962"/>
    <w:rsid w:val="7E9F11B4"/>
    <w:rsid w:val="7F2E602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note text"/>
    <w:basedOn w:val="1"/>
    <w:semiHidden/>
    <w:qFormat/>
    <w:uiPriority w:val="0"/>
    <w:pPr>
      <w:snapToGrid w:val="0"/>
      <w:jc w:val="left"/>
    </w:pPr>
    <w:rPr>
      <w:sz w:val="18"/>
      <w:szCs w:val="18"/>
    </w:rPr>
  </w:style>
  <w:style w:type="paragraph" w:styleId="3">
    <w:name w:val="Body Text"/>
    <w:basedOn w:val="1"/>
    <w:next w:val="4"/>
    <w:qFormat/>
    <w:uiPriority w:val="0"/>
    <w:pPr>
      <w:spacing w:before="100" w:beforeLines="0" w:beforeAutospacing="1"/>
    </w:pPr>
    <w:rPr>
      <w:rFonts w:ascii="Calibri" w:hAnsi="Calibri" w:eastAsia="宋体" w:cs="Times New Roman"/>
      <w:szCs w:val="21"/>
    </w:rPr>
  </w:style>
  <w:style w:type="paragraph" w:styleId="4">
    <w:name w:val="toc 5"/>
    <w:basedOn w:val="1"/>
    <w:next w:val="1"/>
    <w:qFormat/>
    <w:uiPriority w:val="0"/>
    <w:pPr>
      <w:ind w:left="1680" w:leftChars="800"/>
    </w:pPr>
    <w:rPr>
      <w:rFonts w:ascii="Times New Roman" w:hAnsi="Times New Roman" w:eastAsia="宋体" w:cs="Times New Roman"/>
    </w:r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Lines="0" w:beforeAutospacing="1" w:after="100" w:afterLines="0" w:afterAutospacing="1"/>
      <w:ind w:left="0" w:right="0"/>
      <w:jc w:val="left"/>
    </w:pPr>
    <w:rPr>
      <w:rFonts w:ascii="Times New Roman" w:hAnsi="Times New Roman" w:eastAsia="宋体" w:cs="Times New Roman"/>
      <w:kern w:val="0"/>
      <w:sz w:val="24"/>
      <w:lang w:val="en-US" w:eastAsia="zh-CN" w:bidi="ar"/>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26</Pages>
  <Words>8657</Words>
  <Characters>9272</Characters>
  <Lines>63</Lines>
  <Paragraphs>18</Paragraphs>
  <TotalTime>0</TotalTime>
  <ScaleCrop>false</ScaleCrop>
  <LinksUpToDate>false</LinksUpToDate>
  <CharactersWithSpaces>9323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向群</cp:lastModifiedBy>
  <cp:lastPrinted>2024-08-11T02:20:00Z</cp:lastPrinted>
  <dcterms:modified xsi:type="dcterms:W3CDTF">2025-09-24T03:28:56Z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eyJoZGlkIjoiMTM0OGI2ZmNlODc1OWFkMDY5ZTYwNDcyZmM0YmI2NTYiLCJ1c2VySWQiOiIxMjQwNjc3NzgyIn0=</vt:lpwstr>
  </property>
</Properties>
</file>