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pPr>
        <w:jc w:val="center"/>
        <w:rPr>
          <w:rFonts w:hint="default" w:ascii="Times New Roman" w:hAnsi="Times New Roman" w:eastAsia="方正小标宋_GBK" w:cs="Times New Roman"/>
          <w:sz w:val="52"/>
          <w:szCs w:val="52"/>
          <w:highlight w:val="none"/>
        </w:rPr>
      </w:pPr>
    </w:p>
    <w:p>
      <w:pPr>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岳阳市农业科学研究院</w:t>
      </w: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整体支出绩效自评报告</w:t>
      </w:r>
    </w:p>
    <w:p>
      <w:pPr>
        <w:jc w:val="center"/>
        <w:rPr>
          <w:rFonts w:hint="default" w:ascii="Times New Roman" w:hAnsi="Times New Roman" w:eastAsia="方正小标宋_GBK" w:cs="Times New Roman"/>
          <w:b/>
          <w:sz w:val="52"/>
          <w:szCs w:val="5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pPr>
        <w:spacing w:line="600" w:lineRule="exact"/>
        <w:jc w:val="center"/>
        <w:rPr>
          <w:rFonts w:hint="default" w:ascii="Times New Roman" w:hAnsi="Times New Roman" w:eastAsia="楷体_GB2312" w:cs="Times New Roman"/>
          <w:sz w:val="32"/>
          <w:szCs w:val="32"/>
          <w:highlight w:val="none"/>
        </w:rPr>
      </w:pPr>
      <w:r>
        <w:rPr>
          <w:rFonts w:hint="eastAsia" w:eastAsia="楷体_GB2312" w:cs="Times New Roman"/>
          <w:sz w:val="32"/>
          <w:szCs w:val="32"/>
          <w:highlight w:val="none"/>
          <w:lang w:val="en-US" w:eastAsia="zh-CN"/>
        </w:rPr>
        <w:t>2024</w:t>
      </w:r>
      <w:r>
        <w:rPr>
          <w:rFonts w:hint="default" w:ascii="Times New Roman" w:hAnsi="Times New Roman" w:eastAsia="楷体_GB2312" w:cs="Times New Roman"/>
          <w:sz w:val="32"/>
          <w:szCs w:val="32"/>
          <w:highlight w:val="none"/>
        </w:rPr>
        <w:t>年</w:t>
      </w:r>
      <w:r>
        <w:rPr>
          <w:rFonts w:hint="eastAsia" w:eastAsia="楷体_GB2312" w:cs="Times New Roman"/>
          <w:sz w:val="32"/>
          <w:szCs w:val="32"/>
          <w:highlight w:val="none"/>
          <w:lang w:val="en-US" w:eastAsia="zh-CN"/>
        </w:rPr>
        <w:t>6</w:t>
      </w:r>
      <w:r>
        <w:rPr>
          <w:rFonts w:hint="default" w:ascii="Times New Roman" w:hAnsi="Times New Roman" w:eastAsia="楷体_GB2312" w:cs="Times New Roman"/>
          <w:sz w:val="32"/>
          <w:szCs w:val="32"/>
          <w:highlight w:val="none"/>
        </w:rPr>
        <w:t xml:space="preserve">月 </w:t>
      </w:r>
      <w:r>
        <w:rPr>
          <w:rFonts w:hint="eastAsia" w:eastAsia="楷体_GB2312" w:cs="Times New Roman"/>
          <w:sz w:val="32"/>
          <w:szCs w:val="32"/>
          <w:highlight w:val="none"/>
          <w:lang w:val="en-US" w:eastAsia="zh-CN"/>
        </w:rPr>
        <w:t>17</w:t>
      </w:r>
      <w:r>
        <w:rPr>
          <w:rFonts w:hint="default" w:ascii="Times New Roman" w:hAnsi="Times New Roman" w:eastAsia="楷体_GB2312" w:cs="Times New Roman"/>
          <w:sz w:val="32"/>
          <w:szCs w:val="32"/>
          <w:highlight w:val="none"/>
        </w:rPr>
        <w:t>日</w:t>
      </w:r>
    </w:p>
    <w:p>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pPr>
        <w:ind w:firstLine="880" w:firstLineChars="200"/>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岳阳市农业科学研究院</w:t>
      </w:r>
    </w:p>
    <w:p>
      <w:pPr>
        <w:ind w:firstLine="880" w:firstLineChars="200"/>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整体支出绩效自评报告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部门（单位）基本情况</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kern w:val="0"/>
          <w:sz w:val="32"/>
          <w:szCs w:val="32"/>
        </w:rPr>
        <w:t>（一）职能职责</w:t>
      </w:r>
    </w:p>
    <w:p>
      <w:pPr>
        <w:ind w:firstLine="800" w:firstLineChars="250"/>
        <w:jc w:val="left"/>
        <w:rPr>
          <w:rFonts w:hint="eastAsia" w:ascii="宋体" w:hAnsi="宋体" w:eastAsia="宋体"/>
          <w:sz w:val="32"/>
          <w:szCs w:val="32"/>
          <w:lang w:eastAsia="zh-CN"/>
        </w:rPr>
      </w:pPr>
      <w:r>
        <w:rPr>
          <w:rFonts w:hint="eastAsia" w:ascii="宋体" w:hAnsi="宋体"/>
          <w:sz w:val="32"/>
          <w:szCs w:val="32"/>
          <w:lang w:val="en-US" w:eastAsia="zh-CN"/>
        </w:rPr>
        <w:t>1、</w:t>
      </w:r>
      <w:r>
        <w:rPr>
          <w:rFonts w:hint="eastAsia" w:ascii="宋体" w:hAnsi="宋体"/>
          <w:color w:val="auto"/>
          <w:kern w:val="0"/>
          <w:sz w:val="32"/>
          <w:szCs w:val="32"/>
          <w:highlight w:val="white"/>
          <w:lang w:val="en-US"/>
        </w:rPr>
        <w:t>负责地方特色品种资源的发掘与保护;负责组织开展水稻、经济作物、蔬菜、西甜瓜、畜牧业、渔业品种改良选育资源创新、生产技术研究以及新品种、新技术的引进、示范与推广</w:t>
      </w:r>
      <w:r>
        <w:rPr>
          <w:rFonts w:hint="eastAsia" w:ascii="宋体" w:hAnsi="宋体"/>
          <w:color w:val="auto"/>
          <w:kern w:val="0"/>
          <w:sz w:val="32"/>
          <w:szCs w:val="32"/>
          <w:highlight w:val="white"/>
          <w:lang w:val="en-US" w:eastAsia="zh-CN"/>
        </w:rPr>
        <w:t>。</w:t>
      </w:r>
    </w:p>
    <w:p>
      <w:pPr>
        <w:ind w:firstLine="800" w:firstLineChars="250"/>
        <w:jc w:val="left"/>
        <w:rPr>
          <w:rFonts w:hint="eastAsia" w:ascii="宋体" w:hAnsi="宋体"/>
          <w:color w:val="auto"/>
          <w:kern w:val="0"/>
          <w:sz w:val="32"/>
          <w:szCs w:val="32"/>
          <w:highlight w:val="white"/>
          <w:lang w:val="en-US" w:eastAsia="zh-CN"/>
        </w:rPr>
      </w:pPr>
      <w:r>
        <w:rPr>
          <w:rFonts w:hint="eastAsia" w:ascii="宋体" w:hAnsi="宋体"/>
          <w:sz w:val="32"/>
          <w:szCs w:val="32"/>
          <w:lang w:val="en-US" w:eastAsia="zh-CN"/>
        </w:rPr>
        <w:t>2、</w:t>
      </w:r>
      <w:r>
        <w:rPr>
          <w:rFonts w:hint="eastAsia" w:ascii="宋体" w:hAnsi="宋体"/>
          <w:color w:val="auto"/>
          <w:kern w:val="0"/>
          <w:sz w:val="32"/>
          <w:szCs w:val="32"/>
          <w:highlight w:val="white"/>
          <w:lang w:val="en-US"/>
        </w:rPr>
        <w:t>负责开展植物新品种测试技术、农业生态环境、智慧农业与农机应用技术、植物保护技术、生物技术、农产品保鲜与加工技术、农业农村发展等研究与应用</w:t>
      </w:r>
      <w:r>
        <w:rPr>
          <w:rFonts w:hint="eastAsia" w:ascii="宋体" w:hAnsi="宋体"/>
          <w:color w:val="auto"/>
          <w:kern w:val="0"/>
          <w:sz w:val="32"/>
          <w:szCs w:val="32"/>
          <w:highlight w:val="white"/>
          <w:lang w:val="en-US" w:eastAsia="zh-CN"/>
        </w:rPr>
        <w:t>。</w:t>
      </w:r>
    </w:p>
    <w:p>
      <w:pPr>
        <w:ind w:firstLine="640" w:firstLineChars="200"/>
        <w:jc w:val="left"/>
        <w:rPr>
          <w:rFonts w:hint="eastAsia" w:ascii="宋体" w:hAnsi="宋体"/>
          <w:color w:val="auto"/>
          <w:kern w:val="0"/>
          <w:sz w:val="32"/>
          <w:szCs w:val="32"/>
          <w:highlight w:val="white"/>
          <w:lang w:val="en-US"/>
        </w:rPr>
      </w:pPr>
      <w:r>
        <w:rPr>
          <w:rFonts w:hint="eastAsia" w:ascii="宋体" w:hAnsi="宋体"/>
          <w:color w:val="auto"/>
          <w:kern w:val="0"/>
          <w:sz w:val="32"/>
          <w:szCs w:val="32"/>
          <w:highlight w:val="white"/>
          <w:lang w:val="en-US" w:eastAsia="zh-CN"/>
        </w:rPr>
        <w:t>3、</w:t>
      </w:r>
      <w:r>
        <w:rPr>
          <w:rFonts w:hint="eastAsia" w:ascii="宋体" w:hAnsi="宋体"/>
          <w:color w:val="auto"/>
          <w:kern w:val="0"/>
          <w:sz w:val="32"/>
          <w:szCs w:val="32"/>
          <w:highlight w:val="white"/>
          <w:lang w:val="en-US"/>
        </w:rPr>
        <w:t>负责建立农业科技示范基地和农业高科技示范园，集成、熟化、推广农业技术成果。</w:t>
      </w:r>
    </w:p>
    <w:p>
      <w:pPr>
        <w:ind w:firstLine="640" w:firstLineChars="200"/>
        <w:jc w:val="left"/>
        <w:rPr>
          <w:rFonts w:hint="eastAsia" w:ascii="宋体" w:hAnsi="宋体"/>
          <w:color w:val="auto"/>
          <w:kern w:val="0"/>
          <w:sz w:val="32"/>
          <w:szCs w:val="32"/>
          <w:highlight w:val="white"/>
          <w:lang w:val="en-US" w:eastAsia="zh-CN"/>
        </w:rPr>
      </w:pPr>
      <w:r>
        <w:rPr>
          <w:rFonts w:hint="eastAsia" w:ascii="宋体" w:hAnsi="宋体"/>
          <w:color w:val="auto"/>
          <w:kern w:val="0"/>
          <w:sz w:val="32"/>
          <w:szCs w:val="32"/>
          <w:highlight w:val="white"/>
          <w:lang w:val="en-US" w:eastAsia="zh-CN"/>
        </w:rPr>
        <w:t>4、</w:t>
      </w:r>
      <w:r>
        <w:rPr>
          <w:rFonts w:hint="eastAsia" w:ascii="宋体" w:hAnsi="宋体"/>
          <w:color w:val="auto"/>
          <w:kern w:val="0"/>
          <w:sz w:val="32"/>
          <w:szCs w:val="32"/>
          <w:highlight w:val="white"/>
          <w:lang w:val="en-US"/>
        </w:rPr>
        <w:t>承担国家、省、市级重大科技专项与重点研发项目的实施与管理;承担本地区重大农业项目的科学研究、技术实施和</w:t>
      </w:r>
      <w:r>
        <w:rPr>
          <w:rFonts w:hint="eastAsia" w:ascii="宋体" w:hAnsi="宋体"/>
          <w:color w:val="auto"/>
          <w:kern w:val="0"/>
          <w:sz w:val="32"/>
          <w:szCs w:val="32"/>
          <w:highlight w:val="white"/>
          <w:lang w:val="en-US" w:eastAsia="zh-CN"/>
        </w:rPr>
        <w:t>示范</w:t>
      </w:r>
      <w:r>
        <w:rPr>
          <w:rFonts w:hint="eastAsia" w:ascii="宋体" w:hAnsi="宋体"/>
          <w:color w:val="auto"/>
          <w:kern w:val="0"/>
          <w:sz w:val="32"/>
          <w:szCs w:val="32"/>
          <w:highlight w:val="white"/>
          <w:lang w:val="en-US"/>
        </w:rPr>
        <w:t>推广</w:t>
      </w:r>
      <w:r>
        <w:rPr>
          <w:rFonts w:hint="eastAsia" w:ascii="宋体" w:hAnsi="宋体"/>
          <w:color w:val="auto"/>
          <w:kern w:val="0"/>
          <w:sz w:val="32"/>
          <w:szCs w:val="32"/>
          <w:highlight w:val="white"/>
          <w:lang w:val="en-US" w:eastAsia="zh-CN"/>
        </w:rPr>
        <w:t>。</w:t>
      </w:r>
    </w:p>
    <w:p>
      <w:pPr>
        <w:ind w:firstLine="800" w:firstLineChars="250"/>
        <w:jc w:val="left"/>
        <w:rPr>
          <w:rFonts w:hint="eastAsia" w:ascii="宋体" w:hAnsi="宋体"/>
          <w:color w:val="auto"/>
          <w:kern w:val="0"/>
          <w:sz w:val="32"/>
          <w:szCs w:val="32"/>
          <w:highlight w:val="white"/>
          <w:lang w:val="en-US" w:eastAsia="zh-CN"/>
        </w:rPr>
      </w:pPr>
      <w:r>
        <w:rPr>
          <w:rFonts w:hint="eastAsia" w:ascii="宋体" w:hAnsi="宋体"/>
          <w:color w:val="auto"/>
          <w:kern w:val="0"/>
          <w:sz w:val="32"/>
          <w:szCs w:val="32"/>
          <w:highlight w:val="white"/>
          <w:lang w:val="en-US" w:eastAsia="zh-CN"/>
        </w:rPr>
        <w:t>5、</w:t>
      </w:r>
      <w:r>
        <w:rPr>
          <w:rFonts w:hint="eastAsia" w:ascii="宋体" w:hAnsi="宋体"/>
          <w:color w:val="auto"/>
          <w:kern w:val="0"/>
          <w:sz w:val="32"/>
          <w:szCs w:val="32"/>
          <w:highlight w:val="white"/>
          <w:lang w:val="en-US"/>
        </w:rPr>
        <w:t>负责组织农业学术交流、技术合作与科研人才培养承担本地区农业技术培训、咨询和服务</w:t>
      </w:r>
      <w:r>
        <w:rPr>
          <w:rFonts w:hint="eastAsia" w:ascii="宋体" w:hAnsi="宋体"/>
          <w:color w:val="auto"/>
          <w:kern w:val="0"/>
          <w:sz w:val="32"/>
          <w:szCs w:val="32"/>
          <w:highlight w:val="white"/>
          <w:lang w:val="en-US" w:eastAsia="zh-CN"/>
        </w:rPr>
        <w:t>。</w:t>
      </w:r>
    </w:p>
    <w:p>
      <w:pPr>
        <w:keepNext/>
        <w:keepLines/>
        <w:shd w:val="clear" w:color="auto" w:fill="FFFFFF"/>
        <w:spacing w:beforeLines="0" w:afterLines="0"/>
        <w:ind w:firstLine="640" w:firstLineChars="200"/>
        <w:jc w:val="left"/>
        <w:rPr>
          <w:rFonts w:hint="eastAsia" w:ascii="宋体" w:hAnsi="宋体"/>
          <w:color w:val="auto"/>
          <w:kern w:val="0"/>
          <w:sz w:val="32"/>
          <w:szCs w:val="32"/>
          <w:highlight w:val="white"/>
          <w:lang w:val="en-US"/>
        </w:rPr>
      </w:pPr>
      <w:r>
        <w:rPr>
          <w:rFonts w:hint="eastAsia" w:ascii="宋体" w:hAnsi="宋体"/>
          <w:color w:val="auto"/>
          <w:kern w:val="0"/>
          <w:sz w:val="32"/>
          <w:szCs w:val="32"/>
          <w:highlight w:val="white"/>
          <w:lang w:val="en-US" w:eastAsia="zh-CN"/>
        </w:rPr>
        <w:t>6、</w:t>
      </w:r>
      <w:r>
        <w:rPr>
          <w:rFonts w:hint="eastAsia" w:ascii="宋体" w:hAnsi="宋体"/>
          <w:color w:val="auto"/>
          <w:kern w:val="0"/>
          <w:sz w:val="32"/>
          <w:szCs w:val="32"/>
          <w:highlight w:val="white"/>
          <w:lang w:val="en-US"/>
        </w:rPr>
        <w:t>完成市委、市政府和上级主管部门交办的其它工作。</w:t>
      </w:r>
    </w:p>
    <w:p>
      <w:pPr>
        <w:ind w:firstLine="640" w:firstLineChars="200"/>
        <w:jc w:val="left"/>
        <w:rPr>
          <w:rFonts w:hint="eastAsia"/>
          <w:szCs w:val="32"/>
          <w:lang w:eastAsia="zh-CN"/>
        </w:rPr>
      </w:pPr>
      <w:r>
        <w:rPr>
          <w:rFonts w:hint="eastAsia" w:ascii="宋体" w:hAnsi="宋体"/>
          <w:color w:val="auto"/>
          <w:kern w:val="0"/>
          <w:sz w:val="32"/>
          <w:szCs w:val="32"/>
          <w:highlight w:val="white"/>
          <w:lang w:val="en-US" w:eastAsia="zh-CN"/>
        </w:rPr>
        <w:t>7、农业种质资源调查、鉴定、保护、利用和科普教育等职能。</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kern w:val="0"/>
          <w:sz w:val="32"/>
          <w:szCs w:val="32"/>
        </w:rPr>
        <w:t>（二）机构设置</w:t>
      </w:r>
    </w:p>
    <w:p>
      <w:pPr>
        <w:widowControl/>
        <w:spacing w:line="600" w:lineRule="exact"/>
        <w:ind w:firstLine="960" w:firstLineChars="300"/>
        <w:rPr>
          <w:rFonts w:hint="eastAsia" w:ascii="宋体" w:hAnsi="宋体"/>
          <w:bCs/>
          <w:kern w:val="0"/>
          <w:sz w:val="32"/>
          <w:szCs w:val="32"/>
          <w:lang w:eastAsia="zh-CN"/>
        </w:rPr>
      </w:pPr>
      <w:r>
        <w:rPr>
          <w:rFonts w:hint="eastAsia" w:ascii="宋体" w:hAnsi="宋体"/>
          <w:bCs/>
          <w:kern w:val="0"/>
          <w:sz w:val="32"/>
          <w:szCs w:val="32"/>
          <w:lang w:val="en-US" w:eastAsia="zh-CN"/>
        </w:rPr>
        <w:t>1、</w:t>
      </w:r>
      <w:r>
        <w:rPr>
          <w:rFonts w:hint="eastAsia" w:ascii="宋体" w:hAnsi="宋体"/>
          <w:bCs/>
          <w:kern w:val="0"/>
          <w:sz w:val="32"/>
          <w:szCs w:val="32"/>
          <w:lang w:eastAsia="zh-CN"/>
        </w:rPr>
        <w:t>岳阳市农业科学研究院</w:t>
      </w:r>
      <w:r>
        <w:rPr>
          <w:rFonts w:hint="eastAsia" w:ascii="宋体" w:hAnsi="宋体"/>
          <w:bCs/>
          <w:kern w:val="0"/>
          <w:sz w:val="32"/>
          <w:szCs w:val="32"/>
        </w:rPr>
        <w:t>内设机构包括：</w:t>
      </w:r>
      <w:r>
        <w:rPr>
          <w:rFonts w:hint="eastAsia" w:ascii="宋体" w:hAnsi="宋体"/>
          <w:bCs/>
          <w:kern w:val="0"/>
          <w:sz w:val="32"/>
          <w:szCs w:val="32"/>
          <w:lang w:eastAsia="zh-CN"/>
        </w:rPr>
        <w:t>综合部、计划财务部、科研管理部、农业种质资源保护与利用部、人力资源部。</w:t>
      </w:r>
    </w:p>
    <w:p>
      <w:pPr>
        <w:widowControl/>
        <w:spacing w:line="600" w:lineRule="exact"/>
        <w:ind w:firstLine="960" w:firstLineChars="300"/>
        <w:rPr>
          <w:rFonts w:hint="eastAsia" w:ascii="宋体" w:hAnsi="宋体"/>
          <w:bCs/>
          <w:kern w:val="0"/>
          <w:sz w:val="32"/>
          <w:szCs w:val="32"/>
          <w:lang w:eastAsia="zh-CN"/>
        </w:rPr>
      </w:pPr>
      <w:r>
        <w:rPr>
          <w:rFonts w:hint="eastAsia" w:ascii="宋体" w:hAnsi="宋体"/>
          <w:bCs/>
          <w:kern w:val="0"/>
          <w:sz w:val="32"/>
          <w:szCs w:val="32"/>
          <w:lang w:val="en-US" w:eastAsia="zh-CN"/>
        </w:rPr>
        <w:t>2、</w:t>
      </w:r>
      <w:r>
        <w:rPr>
          <w:rFonts w:hint="eastAsia" w:ascii="宋体" w:hAnsi="宋体"/>
          <w:bCs/>
          <w:kern w:val="0"/>
          <w:sz w:val="32"/>
          <w:szCs w:val="32"/>
          <w:lang w:eastAsia="zh-CN"/>
        </w:rPr>
        <w:t>分支机构包括：市农业科学研究院水稻研究所（市智慧农业与农机应用技术研究所）、市农业科学研究院经济作物研究所（市植物保护研究所）、市农业科学研究院蔬菜研究所（市西甜瓜研究所）、市农业科学研究院水产研究所（市农产品加工技术研究所）、市农业科学研究院畜牧研究所（市牛羊冷配总站）、市农业科学研究院生态环境研究所、市农业科学研究院植物新品种测算技术研究所、市农科院茶叶研究中心、市农科院农产品加工技术研究中心、农业经济研究中心。</w:t>
      </w:r>
    </w:p>
    <w:p>
      <w:pPr>
        <w:widowControl/>
        <w:spacing w:line="600" w:lineRule="exact"/>
        <w:ind w:firstLine="640" w:firstLineChars="200"/>
        <w:rPr>
          <w:rFonts w:hint="default" w:ascii="Times New Roman" w:hAnsi="Times New Roman" w:eastAsia="黑体" w:cs="Times New Roman"/>
          <w:sz w:val="32"/>
          <w:szCs w:val="32"/>
          <w:highlight w:val="none"/>
        </w:rPr>
      </w:pPr>
      <w:r>
        <w:rPr>
          <w:rFonts w:hint="eastAsia" w:ascii="宋体" w:hAnsi="宋体"/>
          <w:bCs/>
          <w:kern w:val="0"/>
          <w:sz w:val="32"/>
          <w:szCs w:val="32"/>
          <w:lang w:val="en-US" w:eastAsia="zh-CN"/>
        </w:rPr>
        <w:t>3、岳阳市农业科学研究院在职128人，退休127人。</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pPr>
        <w:pStyle w:val="8"/>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楷体_GB2312" w:cs="Times New Roman"/>
          <w:b/>
          <w:sz w:val="32"/>
          <w:szCs w:val="32"/>
          <w:highlight w:val="none"/>
        </w:rPr>
      </w:pPr>
      <w:r>
        <w:rPr>
          <w:rFonts w:hint="eastAsia" w:ascii="宋体" w:hAnsi="宋体" w:eastAsia="宋体" w:cs="Times New Roman"/>
          <w:bCs/>
          <w:kern w:val="0"/>
          <w:sz w:val="32"/>
          <w:szCs w:val="32"/>
          <w:lang w:val="en-US" w:eastAsia="zh-CN" w:bidi="ar-SA"/>
        </w:rPr>
        <w:t>2024年基本支出本年收入</w:t>
      </w:r>
      <w:r>
        <w:rPr>
          <w:rFonts w:hint="eastAsia" w:ascii="宋体" w:hAnsi="宋体" w:cs="Times New Roman"/>
          <w:bCs/>
          <w:kern w:val="0"/>
          <w:sz w:val="32"/>
          <w:szCs w:val="32"/>
          <w:lang w:val="en-US" w:eastAsia="zh-CN" w:bidi="ar-SA"/>
        </w:rPr>
        <w:t>3622.75万元，上年结转结余0万元，全年收入为3622.75万元，基本支出决算金额为3622.75万元（含人员经费2860.07万元，公用经费762.68万元），其中：工资福利支出2376.81万元，商品和服务支出753.63万元，对个人和家庭的补助483.26万元，资本性支出9.05万元。</w:t>
      </w:r>
    </w:p>
    <w:p>
      <w:pPr>
        <w:pStyle w:val="8"/>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项目支出情况</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cs="Times New Roman"/>
          <w:bCs/>
          <w:kern w:val="0"/>
          <w:sz w:val="32"/>
          <w:szCs w:val="32"/>
          <w:lang w:val="en-US" w:eastAsia="zh-CN" w:bidi="ar-SA"/>
        </w:rPr>
      </w:pPr>
      <w:r>
        <w:rPr>
          <w:rFonts w:hint="eastAsia" w:ascii="宋体" w:hAnsi="宋体" w:cs="Times New Roman"/>
          <w:bCs/>
          <w:kern w:val="0"/>
          <w:sz w:val="32"/>
          <w:szCs w:val="32"/>
          <w:lang w:val="en-US" w:eastAsia="zh-CN" w:bidi="ar-SA"/>
        </w:rPr>
        <w:t>2024年项目支出收入为641.14万元，年初结转结余0万元，全年收入733.31万元，本年项目支出数为641.14万元，其中商品和服务支出609.77万元，对个人和家庭的补助27.19万元，资本性支出4.18万元，年末结转结余92.17万元。</w:t>
      </w:r>
    </w:p>
    <w:p>
      <w:pPr>
        <w:pStyle w:val="8"/>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楷体_GB2312" w:cs="Times New Roman"/>
          <w:b/>
          <w:sz w:val="32"/>
          <w:szCs w:val="32"/>
          <w:highlight w:val="none"/>
        </w:rPr>
      </w:pPr>
      <w:r>
        <w:rPr>
          <w:rFonts w:hint="eastAsia" w:ascii="宋体" w:hAnsi="宋体" w:cs="Times New Roman"/>
          <w:bCs/>
          <w:kern w:val="0"/>
          <w:sz w:val="32"/>
          <w:szCs w:val="32"/>
          <w:lang w:val="en-US" w:eastAsia="zh-CN" w:bidi="ar-SA"/>
        </w:rPr>
        <w:t>项目支出按支出功能明细分类如下：2060203自然科学基金3.87万元，206704学术交流活动1.87万元，2130106科技转化与推广服务51.39万元，2130122农业生产发展2.20万元，2130135农业生态资源保护7.35万元，2130148渔业发展11.92万元，2130199其他农业农村支出562.54万元。</w:t>
      </w:r>
      <w:r>
        <w:rPr>
          <w:rFonts w:hint="eastAsia" w:ascii="宋体" w:hAnsi="宋体" w:cs="Times New Roman"/>
          <w:bCs/>
          <w:kern w:val="0"/>
          <w:sz w:val="32"/>
          <w:szCs w:val="32"/>
          <w:lang w:val="en-US" w:eastAsia="zh-CN" w:bidi="ar-SA"/>
        </w:rPr>
        <w:tab/>
      </w:r>
      <w:r>
        <w:rPr>
          <w:rFonts w:hint="eastAsia" w:ascii="宋体" w:hAnsi="宋体" w:cs="Times New Roman"/>
          <w:bCs/>
          <w:kern w:val="0"/>
          <w:sz w:val="32"/>
          <w:szCs w:val="32"/>
          <w:lang w:val="en-US" w:eastAsia="zh-CN" w:bidi="ar-SA"/>
        </w:rPr>
        <w:tab/>
      </w:r>
      <w:r>
        <w:rPr>
          <w:rFonts w:hint="eastAsia" w:ascii="宋体" w:hAnsi="宋体" w:cs="Times New Roman"/>
          <w:bCs/>
          <w:kern w:val="0"/>
          <w:sz w:val="32"/>
          <w:szCs w:val="32"/>
          <w:lang w:val="en-US" w:eastAsia="zh-CN" w:bidi="ar-SA"/>
        </w:rPr>
        <w:tab/>
      </w:r>
    </w:p>
    <w:p>
      <w:pPr>
        <w:pStyle w:val="8"/>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政府性基金预算支出情况</w:t>
      </w:r>
    </w:p>
    <w:p>
      <w:pPr>
        <w:pStyle w:val="8"/>
        <w:keepNext w:val="0"/>
        <w:keepLines w:val="0"/>
        <w:pageBreakBefore w:val="0"/>
        <w:widowControl/>
        <w:kinsoku/>
        <w:wordWrap/>
        <w:overflowPunct/>
        <w:topLinePunct w:val="0"/>
        <w:autoSpaceDE/>
        <w:autoSpaceDN/>
        <w:bidi w:val="0"/>
        <w:adjustRightInd/>
        <w:snapToGrid/>
        <w:spacing w:line="640" w:lineRule="exact"/>
        <w:ind w:left="0" w:leftChars="0" w:firstLine="640" w:firstLineChars="200"/>
        <w:jc w:val="both"/>
        <w:textAlignment w:val="auto"/>
        <w:rPr>
          <w:rFonts w:hint="eastAsia" w:ascii="宋体" w:hAnsi="宋体" w:cs="Times New Roman"/>
          <w:bCs/>
          <w:kern w:val="0"/>
          <w:sz w:val="32"/>
          <w:szCs w:val="32"/>
          <w:lang w:val="en-US" w:eastAsia="zh-CN" w:bidi="ar-SA"/>
        </w:rPr>
      </w:pPr>
      <w:r>
        <w:rPr>
          <w:rFonts w:hint="eastAsia" w:ascii="宋体" w:hAnsi="宋体" w:cs="Times New Roman"/>
          <w:bCs/>
          <w:kern w:val="0"/>
          <w:sz w:val="32"/>
          <w:szCs w:val="32"/>
          <w:lang w:val="en-US" w:eastAsia="zh-CN" w:bidi="ar-SA"/>
        </w:rPr>
        <w:t>岳阳市农业科学研究院2024年度无</w:t>
      </w:r>
      <w:r>
        <w:rPr>
          <w:rFonts w:hint="default" w:ascii="宋体" w:hAnsi="宋体" w:cs="Times New Roman"/>
          <w:bCs/>
          <w:kern w:val="0"/>
          <w:sz w:val="32"/>
          <w:szCs w:val="32"/>
          <w:lang w:val="en-US" w:eastAsia="zh-CN" w:bidi="ar-SA"/>
        </w:rPr>
        <w:t>政府性基金预算支出</w:t>
      </w:r>
      <w:r>
        <w:rPr>
          <w:rFonts w:hint="eastAsia" w:ascii="宋体" w:hAnsi="宋体" w:cs="Times New Roman"/>
          <w:bCs/>
          <w:kern w:val="0"/>
          <w:sz w:val="32"/>
          <w:szCs w:val="32"/>
          <w:lang w:val="en-US" w:eastAsia="zh-CN" w:bidi="ar-SA"/>
        </w:rPr>
        <w:t>。</w:t>
      </w:r>
    </w:p>
    <w:p>
      <w:pPr>
        <w:pStyle w:val="8"/>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国有资本经营预算支出情况</w:t>
      </w:r>
    </w:p>
    <w:p>
      <w:pPr>
        <w:pStyle w:val="8"/>
        <w:keepNext w:val="0"/>
        <w:keepLines w:val="0"/>
        <w:pageBreakBefore w:val="0"/>
        <w:widowControl/>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eastAsia" w:ascii="宋体" w:hAnsi="宋体" w:cs="Times New Roman"/>
          <w:bCs/>
          <w:kern w:val="0"/>
          <w:sz w:val="32"/>
          <w:szCs w:val="32"/>
          <w:lang w:val="en-US" w:eastAsia="zh-CN" w:bidi="ar-SA"/>
        </w:rPr>
        <w:t>岳阳市农业科学研究院2024年度无</w:t>
      </w:r>
      <w:r>
        <w:rPr>
          <w:rFonts w:hint="default" w:ascii="宋体" w:hAnsi="宋体" w:cs="Times New Roman"/>
          <w:bCs/>
          <w:kern w:val="0"/>
          <w:sz w:val="32"/>
          <w:szCs w:val="32"/>
          <w:lang w:val="en-US" w:eastAsia="zh-CN" w:bidi="ar-SA"/>
        </w:rPr>
        <w:t>国有资本经营预算支出</w:t>
      </w:r>
      <w:r>
        <w:rPr>
          <w:rFonts w:hint="eastAsia" w:ascii="宋体" w:hAnsi="宋体" w:cs="Times New Roman"/>
          <w:bCs/>
          <w:kern w:val="0"/>
          <w:sz w:val="32"/>
          <w:szCs w:val="32"/>
          <w:lang w:val="en-US" w:eastAsia="zh-CN" w:bidi="ar-SA"/>
        </w:rPr>
        <w:t>。</w:t>
      </w:r>
    </w:p>
    <w:p>
      <w:pPr>
        <w:pStyle w:val="8"/>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社会保险基金预算支出情况</w:t>
      </w:r>
    </w:p>
    <w:p>
      <w:pPr>
        <w:pStyle w:val="8"/>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宋体" w:hAnsi="宋体" w:cs="Times New Roman"/>
          <w:bCs/>
          <w:kern w:val="0"/>
          <w:sz w:val="32"/>
          <w:szCs w:val="32"/>
          <w:lang w:val="en-US" w:eastAsia="zh-CN" w:bidi="ar-SA"/>
        </w:rPr>
        <w:t>岳阳市农业科学研究院2024年度无</w:t>
      </w:r>
      <w:r>
        <w:rPr>
          <w:rFonts w:hint="default" w:ascii="宋体" w:hAnsi="宋体" w:cs="Times New Roman"/>
          <w:bCs/>
          <w:kern w:val="0"/>
          <w:sz w:val="32"/>
          <w:szCs w:val="32"/>
          <w:lang w:val="en-US" w:eastAsia="zh-CN" w:bidi="ar-SA"/>
        </w:rPr>
        <w:t>社会保险基金预算支出</w:t>
      </w:r>
      <w:r>
        <w:rPr>
          <w:rFonts w:hint="eastAsia" w:ascii="宋体" w:hAnsi="宋体" w:cs="Times New Roman"/>
          <w:bCs/>
          <w:kern w:val="0"/>
          <w:sz w:val="32"/>
          <w:szCs w:val="32"/>
          <w:lang w:val="en-US" w:eastAsia="zh-CN" w:bidi="ar-SA"/>
        </w:rPr>
        <w:t>。</w:t>
      </w:r>
    </w:p>
    <w:p>
      <w:pPr>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部门整体支出绩效情况</w:t>
      </w:r>
    </w:p>
    <w:p>
      <w:pPr>
        <w:pStyle w:val="3"/>
        <w:spacing w:after="0" w:line="560" w:lineRule="exact"/>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2024年，我院根据中央、省、市重点任务目标、重要工作部署、本院年初工作计划等要求，认真履职，较好地完成了年初确定的各项工作任务，为推进农业和农村发展做出了积极贡献。根据《部门整体支出绩效自评表》自评分100分（详见附表2），部门整体支出绩效为“优”。现</w:t>
      </w:r>
      <w:r>
        <w:rPr>
          <w:rFonts w:hint="default" w:ascii="仿宋_GB2312" w:hAnsi="仿宋_GB2312" w:eastAsia="仿宋_GB2312" w:cs="仿宋_GB2312"/>
          <w:kern w:val="2"/>
          <w:sz w:val="32"/>
          <w:szCs w:val="32"/>
          <w:lang w:val="en-US" w:eastAsia="zh-CN" w:bidi="ar-SA"/>
        </w:rPr>
        <w:t>从运行成本、管理效率、履职效能、社会效应、可持续发展能力和服务对象满意度等方面</w:t>
      </w:r>
      <w:r>
        <w:rPr>
          <w:rFonts w:hint="eastAsia" w:ascii="仿宋_GB2312" w:hAnsi="仿宋_GB2312" w:eastAsia="仿宋_GB2312" w:cs="仿宋_GB2312"/>
          <w:kern w:val="2"/>
          <w:sz w:val="32"/>
          <w:szCs w:val="32"/>
          <w:lang w:val="en-US" w:eastAsia="zh-CN" w:bidi="ar-SA"/>
        </w:rPr>
        <w:t>进行自评</w:t>
      </w:r>
      <w:r>
        <w:rPr>
          <w:rFonts w:hint="default" w:ascii="仿宋_GB2312" w:hAnsi="仿宋_GB2312" w:eastAsia="仿宋_GB2312" w:cs="仿宋_GB2312"/>
          <w:kern w:val="2"/>
          <w:sz w:val="32"/>
          <w:szCs w:val="32"/>
          <w:lang w:val="en-US" w:eastAsia="zh-CN" w:bidi="ar-SA"/>
        </w:rPr>
        <w:t>。</w:t>
      </w:r>
    </w:p>
    <w:p>
      <w:pPr>
        <w:pStyle w:val="2"/>
        <w:numPr>
          <w:ilvl w:val="0"/>
          <w:numId w:val="3"/>
        </w:numPr>
        <w:ind w:left="640" w:leftChars="0" w:firstLine="0" w:firstLineChars="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严控运行成本</w:t>
      </w:r>
    </w:p>
    <w:p>
      <w:pPr>
        <w:pStyle w:val="3"/>
        <w:spacing w:after="0" w:line="56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2024年“三公”经费支出11.01万元，人均支出0.086万元。其中公务接待费0.91万元、公务用车运行维护费10.10万元、车辆购置费支出0万元，较年初预算11.1万元节约0.09万元，节约比为0.81%,出国经费支出0万元。2024年基本支出中水费、电费和差旅费年初预算为53万元，决算数为67.03万元。会议费和培训费年初预算为2万元，决算数为6.61万元。均合理控制在预算以内。</w:t>
      </w:r>
    </w:p>
    <w:p>
      <w:pPr>
        <w:pStyle w:val="2"/>
        <w:numPr>
          <w:ilvl w:val="0"/>
          <w:numId w:val="3"/>
        </w:numPr>
        <w:ind w:left="640" w:leftChars="0" w:firstLine="0" w:firstLineChars="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提高管理效能</w:t>
      </w:r>
    </w:p>
    <w:p>
      <w:pPr>
        <w:pStyle w:val="3"/>
        <w:spacing w:after="0" w:line="56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院党委认真落实党建工作责任制，常态化推进政治理论学习，牢固树立党建引领发展的理念，推动中心业务与党建相融共促，做到党建工作与业务工作同安排、同推进、同落实。</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1、</w:t>
      </w:r>
      <w:r>
        <w:rPr>
          <w:rFonts w:hint="eastAsia" w:ascii="楷体_GB2312" w:hAnsi="楷体_GB2312" w:eastAsia="楷体_GB2312" w:cs="楷体_GB2312"/>
          <w:b/>
          <w:bCs/>
          <w:sz w:val="32"/>
          <w:szCs w:val="32"/>
        </w:rPr>
        <w:t>强化政治引领，夯实使命担当</w:t>
      </w:r>
    </w:p>
    <w:p>
      <w:pPr>
        <w:pStyle w:val="4"/>
        <w:widowControl/>
        <w:adjustRightInd w:val="0"/>
        <w:snapToGrid w:val="0"/>
        <w:spacing w:line="560" w:lineRule="exact"/>
        <w:ind w:firstLine="640" w:firstLineChars="200"/>
        <w:jc w:val="both"/>
        <w:rPr>
          <w:rFonts w:hint="default" w:ascii="仿宋_GB2312" w:hAnsi="仿宋_GB2312" w:eastAsia="仿宋_GB2312" w:cs="仿宋_GB2312"/>
          <w:sz w:val="32"/>
          <w:szCs w:val="32"/>
        </w:rPr>
      </w:pPr>
      <w:r>
        <w:rPr>
          <w:rFonts w:ascii="仿宋_GB2312" w:hAnsi="仿宋_GB2312" w:eastAsia="仿宋_GB2312" w:cs="仿宋_GB2312"/>
          <w:kern w:val="2"/>
          <w:sz w:val="32"/>
          <w:szCs w:val="32"/>
        </w:rPr>
        <w:t>为加强思想政治建设，构建良好的政治生态，我院党委多措并举强化党建引领。</w:t>
      </w:r>
      <w:r>
        <w:rPr>
          <w:rFonts w:ascii="仿宋_GB2312" w:hAnsi="仿宋_GB2312" w:eastAsia="仿宋_GB2312" w:cs="仿宋_GB2312"/>
          <w:b/>
          <w:bCs/>
          <w:kern w:val="2"/>
          <w:sz w:val="32"/>
          <w:szCs w:val="32"/>
        </w:rPr>
        <w:t>一是提升政治引领力。</w:t>
      </w:r>
      <w:r>
        <w:rPr>
          <w:rFonts w:ascii="仿宋_GB2312" w:hAnsi="仿宋_GB2312" w:eastAsia="仿宋_GB2312" w:cs="仿宋_GB2312"/>
          <w:kern w:val="2"/>
          <w:sz w:val="32"/>
          <w:szCs w:val="32"/>
        </w:rPr>
        <w:t>在年初研究制定并下发中共岳阳市农业科学研究院委员会《2024年党的建设工作要点》，明确了市农科院党建工作的指导思想、工作任务和工作要求，为全院全年党建工作提供基本遵循。</w:t>
      </w:r>
      <w:r>
        <w:rPr>
          <w:rFonts w:ascii="仿宋_GB2312" w:hAnsi="仿宋_GB2312" w:eastAsia="仿宋_GB2312" w:cs="仿宋_GB2312"/>
          <w:b/>
          <w:bCs/>
          <w:kern w:val="2"/>
          <w:sz w:val="32"/>
          <w:szCs w:val="32"/>
        </w:rPr>
        <w:t>二是提高组织战斗力。</w:t>
      </w:r>
      <w:r>
        <w:rPr>
          <w:rFonts w:ascii="仿宋_GB2312" w:hAnsi="仿宋_GB2312" w:eastAsia="仿宋_GB2312" w:cs="仿宋_GB2312"/>
          <w:kern w:val="2"/>
          <w:sz w:val="32"/>
          <w:szCs w:val="32"/>
        </w:rPr>
        <w:t>2024年共召开院党委扩大（领导班子）会议9次，开展理论中心组集中学习12次。院党委狠抓“三会一课”“一月一课一片一实践”主题党日等党内基本制度落实，通过党支部书记讲党课、组织全院干部职工集中深入学习《中国共产党纪律处分条例》、观看反腐倡廉警示片等，深入开展党纪学习教育工作，推动全院意识形态工作持续向好。并且严格党员发展程序，优中选优，今年发展了两名年轻党员，为我院党组织增添“新鲜血液”。</w:t>
      </w:r>
      <w:r>
        <w:rPr>
          <w:rFonts w:ascii="仿宋_GB2312" w:hAnsi="仿宋_GB2312" w:eastAsia="仿宋_GB2312" w:cs="仿宋_GB2312"/>
          <w:b/>
          <w:bCs/>
          <w:kern w:val="2"/>
          <w:sz w:val="32"/>
          <w:szCs w:val="32"/>
        </w:rPr>
        <w:t>三是激发党建新活力。</w:t>
      </w:r>
      <w:r>
        <w:rPr>
          <w:rFonts w:ascii="仿宋_GB2312" w:hAnsi="仿宋_GB2312" w:eastAsia="仿宋_GB2312" w:cs="仿宋_GB2312"/>
          <w:sz w:val="32"/>
          <w:szCs w:val="32"/>
        </w:rPr>
        <w:t>以创新主题党日活动深化党建效果，我院积极响应市政府号召，帮助灾区群众重建家园，院党委将“慈善一日捐”活动作为10月份的主题党日活动，统一募捐；为庆祝中华人民共和国成立75周年，弘扬爱国主义精神，丰富支部教育活动形式，我院积极参加省农科院举办的“创新奋进迎国庆 深化改革展新篇”的全省农业科研系统职工大合唱比赛，并荣获三等奖。</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2、</w:t>
      </w:r>
      <w:r>
        <w:rPr>
          <w:rFonts w:hint="eastAsia" w:ascii="楷体_GB2312" w:hAnsi="楷体_GB2312" w:eastAsia="楷体_GB2312" w:cs="楷体_GB2312"/>
          <w:b/>
          <w:bCs/>
          <w:sz w:val="32"/>
          <w:szCs w:val="32"/>
        </w:rPr>
        <w:t>强化监督执纪，推进作风建设</w:t>
      </w:r>
    </w:p>
    <w:p>
      <w:pPr>
        <w:widowControl/>
        <w:spacing w:line="560" w:lineRule="exact"/>
        <w:ind w:firstLine="640" w:firstLineChars="200"/>
        <w:rPr>
          <w:szCs w:val="32"/>
        </w:rPr>
      </w:pPr>
      <w:r>
        <w:rPr>
          <w:rFonts w:hint="eastAsia" w:ascii="仿宋_GB2312" w:hAnsi="仿宋_GB2312" w:eastAsia="仿宋_GB2312" w:cs="仿宋_GB2312"/>
          <w:sz w:val="32"/>
          <w:szCs w:val="32"/>
        </w:rPr>
        <w:t>我院严格落实全面从严治党主体责任，坚决扛起管党治党、治院兴院政治责任，持续推进作风建设。</w:t>
      </w:r>
      <w:r>
        <w:rPr>
          <w:rFonts w:hint="eastAsia" w:ascii="仿宋_GB2312" w:hAnsi="仿宋_GB2312" w:eastAsia="仿宋_GB2312" w:cs="仿宋_GB2312"/>
          <w:b/>
          <w:bCs/>
          <w:sz w:val="32"/>
          <w:szCs w:val="32"/>
        </w:rPr>
        <w:t>一是压实清廉机关工作责任。</w:t>
      </w:r>
      <w:r>
        <w:rPr>
          <w:rFonts w:hint="eastAsia" w:ascii="仿宋_GB2312" w:hAnsi="仿宋_GB2312" w:eastAsia="仿宋_GB2312" w:cs="仿宋_GB2312"/>
          <w:bCs/>
          <w:color w:val="000000"/>
          <w:kern w:val="0"/>
          <w:sz w:val="32"/>
          <w:szCs w:val="32"/>
          <w:shd w:val="clear" w:color="auto" w:fill="FFFFFF"/>
        </w:rPr>
        <w:t>全面落实党委抓基层党建的主体责任，院党委委员下沉到各党支部，带头履行“一岗双责”制度，确保党风廉政建设工作与科研工作的</w:t>
      </w:r>
      <w:r>
        <w:rPr>
          <w:rFonts w:hint="eastAsia" w:ascii="仿宋_GB2312" w:hAnsi="仿宋_GB2312" w:eastAsia="仿宋_GB2312" w:cs="仿宋_GB2312"/>
          <w:sz w:val="32"/>
          <w:szCs w:val="32"/>
        </w:rPr>
        <w:t>“两手抓”“两手硬”。</w:t>
      </w:r>
      <w:r>
        <w:rPr>
          <w:rFonts w:hint="eastAsia" w:ascii="仿宋_GB2312" w:hAnsi="仿宋_GB2312" w:eastAsia="仿宋_GB2312" w:cs="仿宋_GB2312"/>
          <w:bCs/>
          <w:color w:val="000000"/>
          <w:kern w:val="0"/>
          <w:sz w:val="32"/>
          <w:szCs w:val="32"/>
          <w:shd w:val="clear" w:color="auto" w:fill="FFFFFF"/>
        </w:rPr>
        <w:t>制定下发</w:t>
      </w:r>
      <w:r>
        <w:rPr>
          <w:rFonts w:hint="eastAsia" w:ascii="仿宋_GB2312" w:hAnsi="仿宋_GB2312" w:eastAsia="仿宋_GB2312" w:cs="仿宋_GB2312"/>
          <w:sz w:val="32"/>
          <w:szCs w:val="32"/>
        </w:rPr>
        <w:t>中共岳阳市农业科学研究院委员会《2024年党风廉政建设工作要点》</w:t>
      </w:r>
      <w:r>
        <w:rPr>
          <w:rFonts w:hint="eastAsia" w:ascii="仿宋_GB2312" w:hAnsi="仿宋_GB2312" w:eastAsia="仿宋_GB2312" w:cs="仿宋_GB2312"/>
          <w:bCs/>
          <w:color w:val="000000"/>
          <w:kern w:val="0"/>
          <w:sz w:val="32"/>
          <w:szCs w:val="32"/>
          <w:shd w:val="clear" w:color="auto" w:fill="FFFFFF"/>
        </w:rPr>
        <w:t>，明确了市农科院党风廉政建设和反腐败工作指导思想、工作任务和工作要求，为全院扎实开展清廉工作打下坚实基础。</w:t>
      </w:r>
      <w:r>
        <w:rPr>
          <w:rFonts w:hint="eastAsia" w:ascii="仿宋_GB2312" w:hAnsi="仿宋_GB2312" w:eastAsia="仿宋_GB2312" w:cs="仿宋_GB2312"/>
          <w:b/>
          <w:bCs/>
          <w:sz w:val="32"/>
          <w:szCs w:val="32"/>
        </w:rPr>
        <w:t>二是巩固廉政档案建设。</w:t>
      </w:r>
      <w:r>
        <w:rPr>
          <w:rFonts w:hint="eastAsia" w:ascii="仿宋_GB2312" w:hAnsi="仿宋_GB2312" w:eastAsia="仿宋_GB2312" w:cs="仿宋_GB2312"/>
          <w:bCs/>
          <w:color w:val="000000"/>
          <w:kern w:val="0"/>
          <w:sz w:val="32"/>
          <w:szCs w:val="32"/>
          <w:shd w:val="clear" w:color="auto" w:fill="FFFFFF"/>
        </w:rPr>
        <w:t>把建立健全廉政档案作为重要抓手，及时完善领导干部廉政档案，做到动态更新、摸清底数，精准监督，筑牢廉洁从政第一道关口；组织全院副科级以上干部填报涉农项目资金情况报告表、自查报告表及承诺书，共收集39份“两表一书”，推动干部自查自纠，不断加强干部纪法意识、廉洁意识。</w:t>
      </w:r>
      <w:r>
        <w:rPr>
          <w:rFonts w:hint="eastAsia" w:ascii="仿宋_GB2312" w:hAnsi="仿宋_GB2312" w:eastAsia="仿宋_GB2312" w:cs="仿宋_GB2312"/>
          <w:b/>
          <w:color w:val="000000"/>
          <w:kern w:val="0"/>
          <w:sz w:val="32"/>
          <w:szCs w:val="32"/>
          <w:shd w:val="clear" w:color="auto" w:fill="FFFFFF"/>
        </w:rPr>
        <w:t>三是强化纪检督查职能。</w:t>
      </w:r>
      <w:r>
        <w:rPr>
          <w:rFonts w:hint="eastAsia" w:ascii="仿宋_GB2312" w:hAnsi="仿宋" w:eastAsia="仿宋_GB2312" w:cs="仿宋"/>
          <w:color w:val="000000" w:themeColor="text1"/>
          <w:sz w:val="32"/>
          <w:szCs w:val="32"/>
          <w14:textFill>
            <w14:solidFill>
              <w14:schemeClr w14:val="tx1"/>
            </w14:solidFill>
          </w14:textFill>
        </w:rPr>
        <w:t>进一步清理核查并严格落实办公用房、公务接待、公务用车、工作考勤等相关规定，在节假日前夕</w:t>
      </w:r>
      <w:r>
        <w:rPr>
          <w:rFonts w:hint="eastAsia" w:ascii="仿宋_GB2312" w:hAnsi="仿宋_GB2312" w:eastAsia="仿宋_GB2312" w:cs="仿宋_GB2312"/>
          <w:color w:val="000000"/>
          <w:kern w:val="0"/>
          <w:sz w:val="32"/>
          <w:szCs w:val="32"/>
          <w:shd w:val="clear" w:color="auto" w:fill="FFFFFF"/>
        </w:rPr>
        <w:t>下发廉政提醒，锲而不舍落实中央八项规定精神，坚决防止“四风”问题反弹变异</w:t>
      </w:r>
      <w:r>
        <w:rPr>
          <w:rFonts w:hint="eastAsia" w:ascii="仿宋_GB2312" w:hAnsi="仿宋_GB2312" w:eastAsia="仿宋_GB2312" w:cs="仿宋_GB2312"/>
          <w:bCs/>
          <w:color w:val="000000"/>
          <w:kern w:val="0"/>
          <w:sz w:val="32"/>
          <w:szCs w:val="32"/>
          <w:shd w:val="clear" w:color="auto" w:fill="FFFFFF"/>
        </w:rPr>
        <w:t>，</w:t>
      </w:r>
      <w:r>
        <w:rPr>
          <w:rFonts w:hint="eastAsia" w:ascii="仿宋_GB2312" w:hAnsi="仿宋_GB2312" w:eastAsia="仿宋_GB2312" w:cs="仿宋_GB2312"/>
          <w:color w:val="000000"/>
          <w:kern w:val="0"/>
          <w:sz w:val="32"/>
          <w:szCs w:val="32"/>
          <w:shd w:val="clear" w:color="auto" w:fill="FFFFFF"/>
        </w:rPr>
        <w:t>持之以恒正风肃纪，为我院营造风清气正的政治生态环境。</w:t>
      </w:r>
    </w:p>
    <w:p>
      <w:pPr>
        <w:rPr>
          <w:rFonts w:hint="eastAsia"/>
          <w:szCs w:val="32"/>
          <w:lang w:val="en-US" w:eastAsia="zh-CN"/>
        </w:rPr>
      </w:pPr>
    </w:p>
    <w:p>
      <w:pPr>
        <w:numPr>
          <w:ilvl w:val="0"/>
          <w:numId w:val="3"/>
        </w:numPr>
        <w:ind w:left="640" w:leftChars="0" w:firstLine="0" w:firstLineChars="0"/>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提升履职效能</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1、</w:t>
      </w:r>
      <w:r>
        <w:rPr>
          <w:rFonts w:hint="eastAsia" w:ascii="楷体_GB2312" w:hAnsi="楷体_GB2312" w:eastAsia="楷体_GB2312" w:cs="楷体_GB2312"/>
          <w:b/>
          <w:bCs/>
          <w:sz w:val="32"/>
          <w:szCs w:val="32"/>
        </w:rPr>
        <w:t>多措并举，争资争项工作再创新高</w:t>
      </w:r>
    </w:p>
    <w:p>
      <w:pPr>
        <w:widowControl/>
        <w:spacing w:line="560" w:lineRule="exact"/>
        <w:ind w:firstLine="640" w:firstLineChars="200"/>
        <w:rPr>
          <w:rFonts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2024年，我院实施科研项目课题50项，到账经费1351万元，争取项目资金比上年度增加690万元。</w:t>
      </w:r>
    </w:p>
    <w:p>
      <w:pPr>
        <w:widowControl/>
        <w:spacing w:line="560" w:lineRule="exact"/>
        <w:ind w:firstLine="640" w:firstLineChars="200"/>
        <w:rPr>
          <w:rFonts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其中，国家水稻产业体系岳阳综合试验站项目50万元，蔬菜、棉花、水产、茶叶四个省级体系站项目资金56万元，科研专项经费80万元，茶叶专项财政拨款60万元，铜鱼繁殖科研合作资金75万元，农环科研条件建设项目资金80万元，植物新品种保护测试收入285万元，与岳农集团、湘阴县院企（地）合作协议到账资金155万元，以及洞庭湖区域中心专项经费财政拨款461万元。</w:t>
      </w:r>
    </w:p>
    <w:p>
      <w:pPr>
        <w:spacing w:line="560" w:lineRule="exact"/>
        <w:ind w:firstLine="643" w:firstLineChars="200"/>
        <w:rPr>
          <w:rFonts w:ascii="仿宋_GB2312" w:hAnsi="仿宋_GB2312" w:eastAsia="仿宋_GB2312" w:cs="仿宋_GB2312"/>
          <w:kern w:val="0"/>
          <w:sz w:val="32"/>
          <w:szCs w:val="32"/>
        </w:rPr>
      </w:pPr>
      <w:r>
        <w:rPr>
          <w:rFonts w:hint="eastAsia" w:ascii="楷体_GB2312" w:hAnsi="楷体_GB2312" w:eastAsia="楷体_GB2312" w:cs="楷体_GB2312"/>
          <w:b/>
          <w:bCs/>
          <w:sz w:val="32"/>
          <w:szCs w:val="32"/>
          <w:lang w:val="en-US" w:eastAsia="zh-CN"/>
        </w:rPr>
        <w:t>2、</w:t>
      </w:r>
      <w:r>
        <w:rPr>
          <w:rFonts w:hint="eastAsia" w:ascii="楷体_GB2312" w:hAnsi="楷体_GB2312" w:eastAsia="楷体_GB2312" w:cs="楷体_GB2312"/>
          <w:b/>
          <w:bCs/>
          <w:sz w:val="32"/>
          <w:szCs w:val="32"/>
        </w:rPr>
        <w:t>全力以赴，扎实稳步推进农业科研项目</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2024年，我院重点开展江南坡耕地红壤退化阻控与产能提升综合技术模式与应用项目、湖南辣椒优势特色产业集群省级专家技术服务项目等</w:t>
      </w:r>
      <w:r>
        <w:rPr>
          <w:rFonts w:hint="eastAsia" w:ascii="仿宋_GB2312" w:hAnsi="仿宋_GB2312" w:eastAsia="仿宋_GB2312" w:cs="仿宋_GB2312"/>
          <w:b/>
          <w:bCs/>
          <w:kern w:val="0"/>
          <w:sz w:val="32"/>
          <w:szCs w:val="32"/>
        </w:rPr>
        <w:t>国家级项目</w:t>
      </w:r>
      <w:r>
        <w:rPr>
          <w:rFonts w:hint="eastAsia" w:ascii="仿宋_GB2312" w:hAnsi="仿宋_GB2312" w:eastAsia="仿宋_GB2312" w:cs="仿宋_GB2312"/>
          <w:kern w:val="0"/>
          <w:sz w:val="32"/>
          <w:szCs w:val="32"/>
        </w:rPr>
        <w:t>；全力推进《镉低积累水稻新材料筛选、评价与选育》、《华容芥菜现代加工关键技术研究及产品开发》 、芦笋种质资源鉴定评价及育种技术创新研究、鲈鱼种质资源创新与示范推广、澳洲淡水龙虾养殖试验等</w:t>
      </w:r>
      <w:r>
        <w:rPr>
          <w:rFonts w:hint="eastAsia" w:ascii="仿宋_GB2312" w:hAnsi="仿宋_GB2312" w:eastAsia="仿宋_GB2312" w:cs="仿宋_GB2312"/>
          <w:b/>
          <w:bCs/>
          <w:kern w:val="0"/>
          <w:sz w:val="32"/>
          <w:szCs w:val="32"/>
        </w:rPr>
        <w:t>省市级项目</w:t>
      </w:r>
      <w:r>
        <w:rPr>
          <w:rFonts w:hint="eastAsia" w:ascii="仿宋_GB2312" w:hAnsi="仿宋_GB2312" w:eastAsia="仿宋_GB2312" w:cs="仿宋_GB2312"/>
          <w:kern w:val="0"/>
          <w:sz w:val="32"/>
          <w:szCs w:val="32"/>
        </w:rPr>
        <w:t>。主要承担水稻、油菜、棉花等国家区域性试验项目、植物新品种DUS测试项目，且今年各作物DUS测试社会委托测试量较去年大幅度增加，社会委托测试经费高达165万元。</w:t>
      </w:r>
      <w:r>
        <w:rPr>
          <w:rFonts w:hint="eastAsia" w:ascii="仿宋_GB2312" w:hAnsi="仿宋_GB2312" w:eastAsia="仿宋_GB2312" w:cs="仿宋_GB2312"/>
          <w:b/>
          <w:bCs/>
          <w:kern w:val="0"/>
          <w:sz w:val="32"/>
          <w:szCs w:val="32"/>
        </w:rPr>
        <w:t>目前筹划</w:t>
      </w:r>
      <w:r>
        <w:rPr>
          <w:rFonts w:hint="eastAsia" w:ascii="仿宋_GB2312" w:hAnsi="仿宋_GB2312" w:eastAsia="仿宋_GB2312" w:cs="仿宋_GB2312"/>
          <w:kern w:val="0"/>
          <w:sz w:val="32"/>
          <w:szCs w:val="32"/>
        </w:rPr>
        <w:t>申报农业农村部《岳阳市滨湖水牛保种场建设项目》、中国农科院南方经济作物研究中心《华容芥菜全程生产机械化技术项目》、省重点“稻秸源饲料产业化关键技术研究及集成示范”项目。</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我院成功争取湖南省现代农业产业茶叶技术体系湘北（岳阳）试验站；此外，国家水稻产业技术体系岳阳试验站和蔬菜、棉花、水产、油菜等4个省级产业技术体系岳阳试验站工作稳步推进，圆满完成全年各项任务。</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3、</w:t>
      </w:r>
      <w:r>
        <w:rPr>
          <w:rFonts w:hint="eastAsia" w:ascii="楷体_GB2312" w:hAnsi="楷体_GB2312" w:eastAsia="楷体_GB2312" w:cs="楷体_GB2312"/>
          <w:b/>
          <w:bCs/>
          <w:sz w:val="32"/>
          <w:szCs w:val="32"/>
        </w:rPr>
        <w:t>主动谋划，</w:t>
      </w:r>
      <w:r>
        <w:rPr>
          <w:szCs w:val="32"/>
        </w:rPr>
        <w:fldChar w:fldCharType="begin"/>
      </w:r>
      <w:r>
        <w:rPr>
          <w:szCs w:val="32"/>
        </w:rPr>
        <w:instrText xml:space="preserve"> HYPERLINK "https://www.so.com/link?m=zTQcnLDVu3tU7HN3dQX5PUx3wV+bVaRYmD0MIfe3myBKJdwQC51c1njOnGmllX6t8PtpP0FDnKCyLLB7ZlHiIVmFmW1NhNlp+umbp6bddZP5q6UOzmKRwhauvFd5TWX7EN7rphh9SgFrmvU6YK4T6F5PnREPuNogwN6GDTXN7dMA42eKAYuhmfc+LZP/6wEKVoS5LvH/0JzTAmTSPaAlZ2stXHQru8+aR/md/tyicMP6P+bp0Eiq9XLoJx5M1vXLyiMpYtV5b2Ao=" \t "https://www.so.com/_blank" </w:instrText>
      </w:r>
      <w:r>
        <w:rPr>
          <w:szCs w:val="32"/>
        </w:rPr>
        <w:fldChar w:fldCharType="separate"/>
      </w:r>
      <w:r>
        <w:rPr>
          <w:rFonts w:hint="eastAsia" w:ascii="楷体_GB2312" w:hAnsi="楷体_GB2312" w:eastAsia="楷体_GB2312" w:cs="楷体_GB2312"/>
          <w:b/>
          <w:bCs/>
          <w:sz w:val="32"/>
          <w:szCs w:val="32"/>
        </w:rPr>
        <w:t>打造现代农业科技创新高地</w:t>
      </w:r>
      <w:r>
        <w:rPr>
          <w:rFonts w:hint="eastAsia" w:ascii="楷体_GB2312" w:hAnsi="楷体_GB2312" w:eastAsia="楷体_GB2312" w:cs="楷体_GB2312"/>
          <w:b/>
          <w:bCs/>
          <w:sz w:val="32"/>
          <w:szCs w:val="32"/>
        </w:rPr>
        <w:fldChar w:fldCharType="end"/>
      </w:r>
    </w:p>
    <w:p>
      <w:pPr>
        <w:pStyle w:val="4"/>
        <w:widowControl/>
        <w:adjustRightInd w:val="0"/>
        <w:snapToGrid w:val="0"/>
        <w:spacing w:line="560" w:lineRule="exact"/>
        <w:ind w:firstLine="640" w:firstLineChars="200"/>
        <w:jc w:val="both"/>
        <w:rPr>
          <w:rFonts w:hint="default" w:ascii="仿宋_GB2312" w:hAnsi="仿宋_GB2312" w:eastAsia="仿宋_GB2312" w:cs="仿宋_GB2312"/>
          <w:sz w:val="32"/>
          <w:szCs w:val="32"/>
        </w:rPr>
      </w:pPr>
      <w:r>
        <w:rPr>
          <w:rFonts w:ascii="仿宋_GB2312" w:hAnsi="仿宋_GB2312" w:eastAsia="仿宋_GB2312" w:cs="仿宋_GB2312"/>
          <w:sz w:val="32"/>
          <w:szCs w:val="32"/>
        </w:rPr>
        <w:t>岳麓山种业创新中心洞庭湖区域中心落户岳阳，我院作为实施单位积极谋划、主动作为，落实好各项重点工作：</w:t>
      </w:r>
    </w:p>
    <w:p>
      <w:pPr>
        <w:pStyle w:val="4"/>
        <w:widowControl/>
        <w:adjustRightInd w:val="0"/>
        <w:snapToGrid w:val="0"/>
        <w:spacing w:line="560" w:lineRule="exact"/>
        <w:ind w:firstLine="643" w:firstLineChars="200"/>
        <w:jc w:val="both"/>
        <w:rPr>
          <w:rFonts w:hint="default" w:ascii="仿宋_GB2312" w:hAnsi="仿宋_GB2312" w:eastAsia="仿宋_GB2312" w:cs="仿宋_GB2312"/>
          <w:sz w:val="32"/>
          <w:szCs w:val="32"/>
        </w:rPr>
      </w:pPr>
      <w:r>
        <w:rPr>
          <w:rFonts w:ascii="仿宋_GB2312" w:hAnsi="仿宋_GB2312" w:eastAsia="仿宋_GB2312" w:cs="仿宋_GB2312"/>
          <w:b/>
          <w:bCs/>
          <w:sz w:val="32"/>
          <w:szCs w:val="32"/>
        </w:rPr>
        <w:t>一是成功申请专项资金。</w:t>
      </w:r>
      <w:r>
        <w:rPr>
          <w:rFonts w:ascii="仿宋_GB2312" w:hAnsi="仿宋_GB2312" w:eastAsia="仿宋_GB2312" w:cs="仿宋_GB2312"/>
          <w:sz w:val="32"/>
          <w:szCs w:val="32"/>
        </w:rPr>
        <w:t>2024年申报洞庭湖区域中心专项经费500万元，到账461万元。</w:t>
      </w:r>
      <w:r>
        <w:rPr>
          <w:rFonts w:ascii="仿宋_GB2312" w:hAnsi="仿宋_GB2312" w:eastAsia="仿宋_GB2312" w:cs="仿宋_GB2312"/>
          <w:b/>
          <w:bCs/>
          <w:sz w:val="32"/>
          <w:szCs w:val="32"/>
        </w:rPr>
        <w:t>二是有效实施一批种业创新科技专项。</w:t>
      </w:r>
      <w:r>
        <w:rPr>
          <w:rFonts w:ascii="仿宋_GB2312" w:hAnsi="仿宋_GB2312" w:eastAsia="仿宋_GB2312" w:cs="仿宋_GB2312"/>
          <w:sz w:val="32"/>
          <w:szCs w:val="32"/>
        </w:rPr>
        <w:t>2024年洞庭湖区域中心制定出台《种业科技创新项目管理办法》，遴选并实施水稻、芥菜、茶叶、芦笋、水产、畜禽和种质资源收集利用等9个种业科技攻关专项，各项目成果突出：鉴定水稻不育系“璐S”1个，审定农作物新品种“檀优耘刚占”1个，推荐参加国家（省级）区域试验水稻新品种18个次，申请国家植物新品种权4个，获批1个，发表科技论文6篇、申报专利6项，收集新品种种质资源456个，科技合作单位的“高配合力两系杂交稻骨干亲本深08S及其系列组合选育与应用”获得湖南省科技进步二等奖。</w:t>
      </w:r>
      <w:r>
        <w:rPr>
          <w:rFonts w:ascii="仿宋_GB2312" w:hAnsi="仿宋_GB2312" w:eastAsia="仿宋_GB2312" w:cs="仿宋_GB2312"/>
          <w:b/>
          <w:bCs/>
          <w:sz w:val="32"/>
          <w:szCs w:val="32"/>
        </w:rPr>
        <w:t>三是高标准打造百亩科技示范基地。</w:t>
      </w:r>
      <w:r>
        <w:rPr>
          <w:rFonts w:ascii="仿宋_GB2312" w:hAnsi="仿宋_GB2312" w:eastAsia="仿宋_GB2312" w:cs="仿宋_GB2312"/>
          <w:sz w:val="32"/>
          <w:szCs w:val="32"/>
        </w:rPr>
        <w:t>2024年洞庭湖区域中心在屈原区和兴村建成高标准百亩科技示范基地，征集确定22家种业科研院所和企业的高档优质水稻新品种77个进行种植展示，评选出10个示范展示“明星品种”。推进我市种业创新平台建设，助力屈原管理区农业高质量发展和岳阳农高区创建。</w:t>
      </w:r>
      <w:r>
        <w:rPr>
          <w:rFonts w:ascii="仿宋_GB2312" w:hAnsi="仿宋_GB2312" w:eastAsia="仿宋_GB2312" w:cs="仿宋_GB2312"/>
          <w:b/>
          <w:bCs/>
          <w:sz w:val="32"/>
          <w:szCs w:val="32"/>
        </w:rPr>
        <w:t>四是圆满召开种业发展峰会。</w:t>
      </w:r>
      <w:r>
        <w:rPr>
          <w:rFonts w:ascii="仿宋_GB2312" w:hAnsi="仿宋_GB2312" w:eastAsia="仿宋_GB2312" w:cs="仿宋_GB2312"/>
          <w:sz w:val="32"/>
          <w:szCs w:val="32"/>
        </w:rPr>
        <w:t>我院成功举办2024年度洞庭湖生态区种业发展峰会暨“看禾选种”现场观摩会，打造“政产学研用”优势资源集聚融合的平台，助推种业高质高效发展。</w:t>
      </w:r>
      <w:r>
        <w:rPr>
          <w:rFonts w:ascii="仿宋_GB2312" w:hAnsi="仿宋_GB2312" w:eastAsia="仿宋_GB2312" w:cs="仿宋_GB2312"/>
          <w:b/>
          <w:bCs/>
          <w:sz w:val="32"/>
          <w:szCs w:val="32"/>
        </w:rPr>
        <w:t>五是积极推进种业科技成果转化。</w:t>
      </w:r>
      <w:r>
        <w:rPr>
          <w:rFonts w:ascii="仿宋_GB2312" w:hAnsi="仿宋_GB2312" w:eastAsia="仿宋_GB2312" w:cs="仿宋_GB2312"/>
          <w:sz w:val="32"/>
          <w:szCs w:val="32"/>
        </w:rPr>
        <w:t>洞庭湖区域中心积极协调我院水稻专家与深圳创世纪种业有限公司洽谈水稻科研新品种成果转化与市场开发的商务合作，已达成水稻新品种“川种优464”成果开发转让，首批转让费已入账。</w:t>
      </w:r>
    </w:p>
    <w:p>
      <w:pPr>
        <w:numPr>
          <w:ilvl w:val="0"/>
          <w:numId w:val="3"/>
        </w:numPr>
        <w:ind w:left="640" w:leftChars="0" w:firstLine="0" w:firstLineChars="0"/>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促进良好社会效应</w:t>
      </w:r>
    </w:p>
    <w:p>
      <w:pPr>
        <w:spacing w:line="560" w:lineRule="exact"/>
        <w:ind w:firstLine="640" w:firstLineChars="200"/>
        <w:rPr>
          <w:rFonts w:hint="eastAsia" w:ascii="Times New Roman" w:hAnsi="Times New Roman" w:eastAsia="仿宋_GB2312" w:cs="Times New Roman"/>
          <w:color w:val="000000"/>
          <w:kern w:val="0"/>
          <w:sz w:val="32"/>
          <w:szCs w:val="32"/>
          <w:lang w:val="en-US" w:eastAsia="zh-CN" w:bidi="ar-SA"/>
        </w:rPr>
      </w:pPr>
      <w:r>
        <w:rPr>
          <w:rFonts w:hint="eastAsia" w:ascii="仿宋_GB2312" w:hAnsi="仿宋_GB2312" w:eastAsia="仿宋_GB2312" w:cs="仿宋_GB2312"/>
          <w:sz w:val="32"/>
          <w:szCs w:val="32"/>
        </w:rPr>
        <w:t>我院科研工作捷报频传，科研成果再获佳绩。2024年度</w:t>
      </w:r>
      <w:r>
        <w:rPr>
          <w:rFonts w:hint="eastAsia" w:ascii="仿宋_GB2312" w:hAnsi="仿宋_GB2312" w:eastAsia="仿宋_GB2312" w:cs="仿宋_GB2312"/>
          <w:b/>
          <w:sz w:val="32"/>
          <w:szCs w:val="32"/>
        </w:rPr>
        <w:t>获荣誉称号1项：</w:t>
      </w:r>
      <w:r>
        <w:rPr>
          <w:rFonts w:hint="eastAsia" w:ascii="仿宋_GB2312" w:hAnsi="仿宋_GB2312" w:eastAsia="仿宋_GB2312" w:cs="仿宋_GB2312"/>
          <w:sz w:val="32"/>
          <w:szCs w:val="32"/>
        </w:rPr>
        <w:t>成功申报</w:t>
      </w:r>
      <w:r>
        <w:rPr>
          <w:rFonts w:ascii="仿宋_GB2312" w:hAnsi="仿宋_GB2312" w:eastAsia="仿宋_GB2312" w:cs="仿宋_GB2312"/>
          <w:sz w:val="32"/>
          <w:szCs w:val="32"/>
        </w:rPr>
        <w:t>“2023年度DUS测试全国先进团队</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出版专著1部：</w:t>
      </w:r>
      <w:r>
        <w:rPr>
          <w:rFonts w:hint="eastAsia" w:ascii="仿宋_GB2312" w:hAnsi="仿宋_GB2312" w:eastAsia="仿宋_GB2312" w:cs="仿宋_GB2312"/>
          <w:bCs/>
          <w:sz w:val="32"/>
          <w:szCs w:val="32"/>
        </w:rPr>
        <w:t>《湖南地区加州鲈养殖》</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参与编制湖南省技术规程1项：</w:t>
      </w:r>
      <w:r>
        <w:rPr>
          <w:rFonts w:hint="eastAsia" w:ascii="仿宋_GB2312" w:hAnsi="仿宋_GB2312" w:eastAsia="仿宋_GB2312" w:cs="仿宋_GB2312"/>
          <w:bCs/>
          <w:sz w:val="32"/>
          <w:szCs w:val="32"/>
        </w:rPr>
        <w:t>《酸性水稻土钾肥施用技术规程》。</w:t>
      </w:r>
      <w:r>
        <w:rPr>
          <w:rFonts w:hint="eastAsia" w:ascii="仿宋_GB2312" w:hAnsi="仿宋_GB2312" w:eastAsia="仿宋_GB2312" w:cs="仿宋_GB2312"/>
          <w:b/>
          <w:sz w:val="32"/>
          <w:szCs w:val="32"/>
        </w:rPr>
        <w:t>获取软件著作权2项</w:t>
      </w:r>
      <w:r>
        <w:rPr>
          <w:rFonts w:hint="eastAsia" w:ascii="仿宋_GB2312" w:hAnsi="仿宋_GB2312" w:eastAsia="仿宋_GB2312" w:cs="仿宋_GB2312"/>
          <w:bCs/>
          <w:sz w:val="32"/>
          <w:szCs w:val="32"/>
        </w:rPr>
        <w:t>：瘠薄土壤不同绿肥品种与生物菌肥配施智能管理系统、杂交水稻生长状态信息监管系统。</w:t>
      </w:r>
      <w:r>
        <w:rPr>
          <w:rFonts w:hint="eastAsia" w:ascii="仿宋_GB2312" w:hAnsi="仿宋_GB2312" w:eastAsia="仿宋_GB2312" w:cs="仿宋_GB2312"/>
          <w:b/>
          <w:sz w:val="32"/>
          <w:szCs w:val="32"/>
        </w:rPr>
        <w:t>发明专利4项：</w:t>
      </w:r>
      <w:r>
        <w:rPr>
          <w:rFonts w:hint="eastAsia" w:ascii="仿宋_GB2312" w:hAnsi="仿宋_GB2312" w:eastAsia="仿宋_GB2312" w:cs="仿宋_GB2312"/>
          <w:bCs/>
          <w:sz w:val="32"/>
          <w:szCs w:val="32"/>
        </w:rPr>
        <w:t>一是冬闲田简易茄果类蔬菜漂浮育苗大棚、二是南方稻区青贮用鲜稻秸收获装置及收获方法、 三是种藕采收种植一体化装置及其使用方法 、四是水稻播种覆泥设备</w:t>
      </w:r>
      <w:r>
        <w:rPr>
          <w:rFonts w:hint="eastAsia" w:ascii="仿宋_GB2312" w:hAnsi="仿宋_GB2312" w:eastAsia="仿宋_GB2312" w:cs="仿宋_GB2312"/>
          <w:b/>
          <w:sz w:val="32"/>
          <w:szCs w:val="32"/>
        </w:rPr>
        <w:t>。发表论文34篇：</w:t>
      </w:r>
      <w:r>
        <w:rPr>
          <w:rFonts w:hint="eastAsia" w:ascii="仿宋_GB2312" w:hAnsi="仿宋_GB2312" w:eastAsia="仿宋_GB2312" w:cs="仿宋_GB2312"/>
          <w:sz w:val="32"/>
          <w:szCs w:val="32"/>
        </w:rPr>
        <w:t>其中核心期刊3篇。</w:t>
      </w:r>
      <w:r>
        <w:rPr>
          <w:rFonts w:hint="eastAsia" w:ascii="仿宋_GB2312" w:hAnsi="仿宋_GB2312" w:eastAsia="仿宋_GB2312" w:cs="仿宋_GB2312"/>
          <w:b/>
          <w:sz w:val="32"/>
          <w:szCs w:val="32"/>
        </w:rPr>
        <w:t>媒体报道34次。取得1个植物新品种权保护公告：</w:t>
      </w:r>
      <w:r>
        <w:rPr>
          <w:rFonts w:hint="eastAsia" w:ascii="仿宋_GB2312" w:hAnsi="仿宋_GB2312" w:eastAsia="仿宋_GB2312" w:cs="仿宋_GB2312"/>
          <w:sz w:val="32"/>
          <w:szCs w:val="32"/>
        </w:rPr>
        <w:t>品种川种优464。</w:t>
      </w:r>
      <w:r>
        <w:rPr>
          <w:rFonts w:hint="eastAsia" w:ascii="仿宋_GB2312" w:hAnsi="仿宋_GB2312" w:eastAsia="仿宋_GB2312" w:cs="仿宋_GB2312"/>
          <w:b/>
          <w:sz w:val="32"/>
          <w:szCs w:val="32"/>
        </w:rPr>
        <w:t>鉴定2个水稻新品种：</w:t>
      </w:r>
      <w:r>
        <w:rPr>
          <w:rFonts w:hint="eastAsia" w:ascii="仿宋_GB2312" w:hAnsi="仿宋_GB2312" w:eastAsia="仿宋_GB2312" w:cs="仿宋_GB2312"/>
          <w:sz w:val="32"/>
          <w:szCs w:val="32"/>
        </w:rPr>
        <w:t>不育系君玉A、华兴A通过湖南省成果鉴定。</w:t>
      </w:r>
      <w:r>
        <w:rPr>
          <w:rFonts w:hint="eastAsia" w:ascii="仿宋_GB2312" w:hAnsi="仿宋_GB2312" w:eastAsia="仿宋_GB2312" w:cs="仿宋_GB2312"/>
          <w:b/>
          <w:sz w:val="32"/>
          <w:szCs w:val="32"/>
        </w:rPr>
        <w:t>申请国家植物新品种保护4个：</w:t>
      </w:r>
      <w:r>
        <w:rPr>
          <w:rFonts w:hint="eastAsia" w:ascii="仿宋_GB2312" w:hAnsi="仿宋_GB2312" w:eastAsia="仿宋_GB2312" w:cs="仿宋_GB2312"/>
          <w:sz w:val="32"/>
          <w:szCs w:val="32"/>
        </w:rPr>
        <w:t>岳州玉占、岳州一号、君玉A和华兴A。同时，我院水产所拟定的《加州鲈鱼本地化技术助推区域鲈鱼养殖高地建议》被农业农村部评为2024年地市农业科研院所支撑地方产业发展十大典型案例。</w:t>
      </w:r>
    </w:p>
    <w:p>
      <w:pPr>
        <w:pStyle w:val="4"/>
        <w:widowControl/>
        <w:numPr>
          <w:ilvl w:val="0"/>
          <w:numId w:val="3"/>
        </w:numPr>
        <w:adjustRightInd w:val="0"/>
        <w:snapToGrid w:val="0"/>
        <w:spacing w:line="560" w:lineRule="exact"/>
        <w:ind w:left="640" w:leftChars="0" w:firstLine="0" w:firstLineChars="0"/>
        <w:jc w:val="both"/>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增强可持续发展能力</w:t>
      </w:r>
    </w:p>
    <w:p>
      <w:pPr>
        <w:pStyle w:val="4"/>
        <w:widowControl/>
        <w:numPr>
          <w:ilvl w:val="0"/>
          <w:numId w:val="0"/>
        </w:numPr>
        <w:adjustRightInd w:val="0"/>
        <w:snapToGrid w:val="0"/>
        <w:spacing w:line="560" w:lineRule="exact"/>
        <w:ind w:firstLine="640" w:firstLineChars="200"/>
        <w:jc w:val="both"/>
        <w:rPr>
          <w:rFonts w:hint="default" w:ascii="仿宋_GB2312" w:hAnsi="仿宋_GB2312" w:eastAsia="仿宋_GB2312" w:cs="仿宋_GB2312"/>
          <w:kern w:val="2"/>
          <w:sz w:val="32"/>
          <w:szCs w:val="32"/>
        </w:rPr>
      </w:pPr>
      <w:r>
        <w:rPr>
          <w:rFonts w:ascii="仿宋_GB2312" w:hAnsi="仿宋_GB2312" w:eastAsia="仿宋_GB2312" w:cs="仿宋_GB2312"/>
          <w:sz w:val="32"/>
          <w:szCs w:val="32"/>
        </w:rPr>
        <w:t>我院强力实施“人才强院”战略，2024年</w:t>
      </w:r>
      <w:r>
        <w:rPr>
          <w:rFonts w:ascii="仿宋_GB2312" w:hAnsi="仿宋" w:eastAsia="仿宋_GB2312" w:cs="仿宋_GB2312"/>
          <w:sz w:val="32"/>
          <w:szCs w:val="32"/>
        </w:rPr>
        <w:t>新增市政府特殊津贴专</w:t>
      </w:r>
      <w:r>
        <w:rPr>
          <w:rFonts w:ascii="仿宋_GB2312" w:hAnsi="仿宋_GB2312" w:eastAsia="仿宋_GB2312" w:cs="仿宋_GB2312"/>
          <w:sz w:val="32"/>
          <w:szCs w:val="32"/>
        </w:rPr>
        <w:t>家2名，1人获评湖南省茶叶行业工作先进个人、1人获评岳阳市“小荷人才”、1人获评岳阳市芙蓉百岗明星，</w:t>
      </w:r>
      <w:r>
        <w:rPr>
          <w:rFonts w:ascii="仿宋_GB2312" w:hAnsi="仿宋_GB2312" w:eastAsia="仿宋_GB2312" w:cs="仿宋_GB2312"/>
          <w:kern w:val="2"/>
          <w:sz w:val="32"/>
          <w:szCs w:val="32"/>
        </w:rPr>
        <w:t>市派科技特派员人数高达28人</w:t>
      </w:r>
      <w:r>
        <w:rPr>
          <w:rFonts w:ascii="仿宋_GB2312" w:hAnsi="仿宋_GB2312" w:eastAsia="仿宋_GB2312" w:cs="仿宋_GB2312"/>
          <w:sz w:val="32"/>
          <w:szCs w:val="32"/>
        </w:rPr>
        <w:t>。</w:t>
      </w:r>
      <w:r>
        <w:rPr>
          <w:rFonts w:ascii="仿宋_GB2312" w:hAnsi="仿宋_GB2312" w:eastAsia="仿宋_GB2312" w:cs="仿宋_GB2312"/>
          <w:kern w:val="2"/>
          <w:sz w:val="32"/>
          <w:szCs w:val="32"/>
        </w:rPr>
        <w:t>目前，全院在职在编人数127人，科研技术人才为113人，其中高级以上技术职称33人、中级技术职称49人、初级技术职称31人，科研技术人才占全院总人数89%。</w:t>
      </w:r>
    </w:p>
    <w:p>
      <w:pPr>
        <w:pStyle w:val="4"/>
        <w:widowControl/>
        <w:adjustRightInd w:val="0"/>
        <w:snapToGrid w:val="0"/>
        <w:spacing w:line="560" w:lineRule="exact"/>
        <w:ind w:firstLine="640" w:firstLineChars="200"/>
        <w:jc w:val="both"/>
        <w:rPr>
          <w:rFonts w:hint="default" w:ascii="仿宋_GB2312" w:hAnsi="仿宋_GB2312" w:eastAsia="仿宋_GB2312" w:cs="仿宋_GB2312"/>
          <w:sz w:val="32"/>
          <w:szCs w:val="32"/>
        </w:rPr>
      </w:pPr>
      <w:r>
        <w:rPr>
          <w:rFonts w:ascii="仿宋_GB2312" w:hAnsi="仿宋_GB2312" w:eastAsia="仿宋_GB2312" w:cs="仿宋_GB2312"/>
          <w:sz w:val="32"/>
          <w:szCs w:val="32"/>
        </w:rPr>
        <w:t>为充分整合人才资源，推动科研人才下沉、科技下乡服务“三农”，2024年我院共开展技术服务133次、应急服务7次、技术培训30场，培训人员高达1600人次；7月初我市多地遭遇历史最强洪水袭击，灾后我院发挥专业优势，迅速组织专家团队深入实地，开展农业防灾减灾技术指导，助力恢复生产，并通过岳阳日报等媒体迅速发布技术指导意见，我院水稻所第一时间参与华容水稻补种救灾方案制订，全程动态跟踪指导灾后补种晚稻，晚稻产量达到401.3公斤/亩，全力保障了粮食安全。</w:t>
      </w:r>
    </w:p>
    <w:p>
      <w:pPr>
        <w:pStyle w:val="5"/>
        <w:rPr>
          <w:rFonts w:hint="eastAsia" w:eastAsia="仿宋_GB2312"/>
          <w:szCs w:val="32"/>
          <w:lang w:val="en-US" w:eastAsia="zh-CN"/>
        </w:rPr>
      </w:pPr>
      <w:r>
        <w:rPr>
          <w:rFonts w:hint="eastAsia" w:ascii="Times New Roman" w:hAnsi="Times New Roman" w:eastAsia="仿宋_GB2312" w:cs="Times New Roman"/>
          <w:color w:val="000000"/>
          <w:kern w:val="0"/>
          <w:sz w:val="32"/>
          <w:szCs w:val="32"/>
          <w:lang w:val="en-US" w:eastAsia="zh-CN" w:bidi="ar-SA"/>
        </w:rPr>
        <w:t>（六）提高服务对象满意度</w:t>
      </w:r>
    </w:p>
    <w:p>
      <w:pPr>
        <w:rPr>
          <w:rFonts w:hint="eastAsia" w:ascii="Times New Roman" w:hAnsi="Times New Roman" w:eastAsia="仿宋_GB2312" w:cs="Times New Roman"/>
          <w:color w:val="000000"/>
          <w:kern w:val="0"/>
          <w:sz w:val="32"/>
          <w:szCs w:val="32"/>
          <w:lang w:val="en-US" w:eastAsia="zh-CN" w:bidi="ar-SA"/>
        </w:rPr>
      </w:pPr>
      <w:r>
        <w:rPr>
          <w:rFonts w:hint="eastAsia"/>
          <w:szCs w:val="32"/>
          <w:lang w:val="en-US" w:eastAsia="zh-CN"/>
        </w:rPr>
        <w:t xml:space="preserve">    </w:t>
      </w:r>
      <w:r>
        <w:rPr>
          <w:rFonts w:hint="eastAsia" w:ascii="仿宋_GB2312" w:eastAsia="仿宋_GB2312"/>
          <w:sz w:val="32"/>
          <w:szCs w:val="32"/>
          <w:lang w:val="en-US" w:eastAsia="zh-CN"/>
        </w:rPr>
        <w:t xml:space="preserve"> 绩效评价组通过发放调查问卷和实地走访的方式进行满意度调查，2024年</w:t>
      </w:r>
      <w:r>
        <w:rPr>
          <w:rFonts w:hint="eastAsia" w:ascii="仿宋_GB2312" w:eastAsia="仿宋_GB2312"/>
          <w:sz w:val="32"/>
          <w:szCs w:val="32"/>
        </w:rPr>
        <w:t>深化国有农场税费改革转移支付</w:t>
      </w:r>
      <w:r>
        <w:rPr>
          <w:rFonts w:hint="eastAsia" w:ascii="仿宋_GB2312" w:eastAsia="仿宋_GB2312"/>
          <w:sz w:val="32"/>
          <w:szCs w:val="32"/>
          <w:lang w:val="en-US" w:eastAsia="zh-CN"/>
        </w:rPr>
        <w:t>服务项目对象满意度为100%，岳麓山种业创新中心洞庭湖区域中心（岳阳分中心）专项经费对象满意度为95%，业务工作经费的服务对象满意度为95%，运行维护经费项目的服务对象满意度为95%，部门整体服务对象满意度为95%。</w:t>
      </w:r>
    </w:p>
    <w:p>
      <w:pPr>
        <w:pStyle w:val="8"/>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存在的问题及原因分析</w:t>
      </w:r>
    </w:p>
    <w:p>
      <w:pPr>
        <w:pStyle w:val="8"/>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firstLine="640" w:firstLineChars="200"/>
        <w:jc w:val="both"/>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我院菜科所良种场为下属集体单位，有户籍人口一千多人，随着城镇化的进程，良种场现已面临经费严重紧张的问题，良种场禁违拆违治违工作压力日益加大。</w:t>
      </w:r>
    </w:p>
    <w:p>
      <w:pPr>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下一步改进措施</w:t>
      </w:r>
    </w:p>
    <w:p>
      <w:pPr>
        <w:pStyle w:val="5"/>
        <w:numPr>
          <w:ilvl w:val="0"/>
          <w:numId w:val="0"/>
        </w:numPr>
        <w:ind w:firstLine="420" w:firstLineChars="200"/>
        <w:rPr>
          <w:rFonts w:hint="default" w:ascii="Times New Roman" w:hAnsi="Times New Roman" w:eastAsia="黑体" w:cs="Times New Roman"/>
          <w:sz w:val="32"/>
          <w:szCs w:val="32"/>
          <w:highlight w:val="none"/>
        </w:rPr>
      </w:pPr>
      <w:r>
        <w:rPr>
          <w:rFonts w:hint="eastAsia"/>
          <w:szCs w:val="32"/>
          <w:lang w:val="en-US" w:eastAsia="zh-CN"/>
        </w:rPr>
        <w:t xml:space="preserve"> </w:t>
      </w:r>
      <w:r>
        <w:rPr>
          <w:rFonts w:hint="eastAsia" w:ascii="Times New Roman" w:hAnsi="Times New Roman" w:eastAsia="仿宋_GB2312" w:cs="Times New Roman"/>
          <w:color w:val="auto"/>
          <w:kern w:val="2"/>
          <w:sz w:val="32"/>
          <w:szCs w:val="32"/>
          <w:highlight w:val="none"/>
          <w:u w:val="none" w:color="auto"/>
          <w:lang w:val="en-US" w:eastAsia="zh-CN" w:bidi="ar-SA"/>
        </w:rPr>
        <w:t>请求</w:t>
      </w:r>
      <w:r>
        <w:rPr>
          <w:rFonts w:hint="eastAsia" w:eastAsia="仿宋_GB2312" w:cs="Times New Roman"/>
          <w:color w:val="auto"/>
          <w:kern w:val="2"/>
          <w:sz w:val="32"/>
          <w:szCs w:val="32"/>
          <w:highlight w:val="none"/>
          <w:u w:val="none" w:color="auto"/>
          <w:lang w:val="en-US" w:eastAsia="zh-CN" w:bidi="ar-SA"/>
        </w:rPr>
        <w:t>市</w:t>
      </w:r>
      <w:r>
        <w:rPr>
          <w:rFonts w:hint="eastAsia" w:ascii="Times New Roman" w:hAnsi="Times New Roman" w:eastAsia="仿宋_GB2312" w:cs="Times New Roman"/>
          <w:color w:val="auto"/>
          <w:kern w:val="2"/>
          <w:sz w:val="32"/>
          <w:szCs w:val="32"/>
          <w:highlight w:val="none"/>
          <w:u w:val="none" w:color="auto"/>
          <w:lang w:val="en-US" w:eastAsia="zh-CN" w:bidi="ar-SA"/>
        </w:rPr>
        <w:t>政府</w:t>
      </w:r>
      <w:r>
        <w:rPr>
          <w:rFonts w:hint="eastAsia" w:eastAsia="仿宋_GB2312" w:cs="Times New Roman"/>
          <w:color w:val="auto"/>
          <w:kern w:val="2"/>
          <w:sz w:val="32"/>
          <w:szCs w:val="32"/>
          <w:highlight w:val="none"/>
          <w:u w:val="none" w:color="auto"/>
          <w:lang w:val="en-US" w:eastAsia="zh-CN" w:bidi="ar-SA"/>
        </w:rPr>
        <w:t>批准</w:t>
      </w:r>
      <w:r>
        <w:rPr>
          <w:rFonts w:hint="eastAsia" w:ascii="Times New Roman" w:hAnsi="Times New Roman" w:eastAsia="仿宋_GB2312" w:cs="Times New Roman"/>
          <w:color w:val="auto"/>
          <w:kern w:val="2"/>
          <w:sz w:val="32"/>
          <w:szCs w:val="32"/>
          <w:highlight w:val="none"/>
          <w:u w:val="none" w:color="auto"/>
          <w:lang w:val="en-US" w:eastAsia="zh-CN" w:bidi="ar-SA"/>
        </w:rPr>
        <w:t>将良种场</w:t>
      </w:r>
      <w:r>
        <w:rPr>
          <w:rFonts w:hint="eastAsia" w:eastAsia="仿宋_GB2312" w:cs="Times New Roman"/>
          <w:color w:val="auto"/>
          <w:kern w:val="2"/>
          <w:sz w:val="32"/>
          <w:szCs w:val="32"/>
          <w:highlight w:val="none"/>
          <w:u w:val="none" w:color="auto"/>
          <w:lang w:val="en-US" w:eastAsia="zh-CN" w:bidi="ar-SA"/>
        </w:rPr>
        <w:t>移交岳阳楼区</w:t>
      </w:r>
      <w:bookmarkStart w:id="0" w:name="_GoBack"/>
      <w:bookmarkEnd w:id="0"/>
      <w:r>
        <w:rPr>
          <w:rFonts w:hint="eastAsia" w:ascii="Times New Roman" w:hAnsi="Times New Roman" w:eastAsia="仿宋_GB2312" w:cs="Times New Roman"/>
          <w:color w:val="auto"/>
          <w:kern w:val="2"/>
          <w:sz w:val="32"/>
          <w:szCs w:val="32"/>
          <w:highlight w:val="none"/>
          <w:u w:val="none" w:color="auto"/>
          <w:lang w:val="en-US" w:eastAsia="zh-CN" w:bidi="ar-SA"/>
        </w:rPr>
        <w:t>回归社会化管理，人员移交城市街道和社区实行属地管理，由社区服务组织提供相应管理服务。</w:t>
      </w:r>
    </w:p>
    <w:p>
      <w:pPr>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部门整体支出绩效自评结果拟应用和公开情况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落实绩效评价结果公开公示制度，将绩效评价报告上网公开，接受社会监督。</w:t>
      </w:r>
    </w:p>
    <w:p>
      <w:pPr>
        <w:keepNext w:val="0"/>
        <w:keepLines w:val="0"/>
        <w:pageBreakBefore w:val="0"/>
        <w:widowControl/>
        <w:numPr>
          <w:ilvl w:val="0"/>
          <w:numId w:val="0"/>
        </w:numPr>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sz w:val="32"/>
          <w:szCs w:val="32"/>
          <w:highlight w:val="none"/>
        </w:rPr>
      </w:pP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报告需要以下附件：</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部门整体支出绩效评价基础数据表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部门整体支出绩效自评表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项目支出绩效自评表（一个一级项目支出一张表）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政府性基金预算支出情况表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国有资本经营预算支出情况表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社会保险基金预算支出情况表</w:t>
      </w:r>
    </w:p>
    <w:p>
      <w:pPr>
        <w:rPr>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A4AE5"/>
    <w:multiLevelType w:val="singleLevel"/>
    <w:tmpl w:val="A53A4AE5"/>
    <w:lvl w:ilvl="0" w:tentative="0">
      <w:start w:val="1"/>
      <w:numFmt w:val="chineseCounting"/>
      <w:suff w:val="nothing"/>
      <w:lvlText w:val="%1、"/>
      <w:lvlJc w:val="left"/>
      <w:rPr>
        <w:rFonts w:hint="eastAsia"/>
      </w:rPr>
    </w:lvl>
  </w:abstractNum>
  <w:abstractNum w:abstractNumId="1">
    <w:nsid w:val="65A5C1EB"/>
    <w:multiLevelType w:val="singleLevel"/>
    <w:tmpl w:val="65A5C1EB"/>
    <w:lvl w:ilvl="0" w:tentative="0">
      <w:start w:val="2"/>
      <w:numFmt w:val="chineseCounting"/>
      <w:suff w:val="nothing"/>
      <w:lvlText w:val="（%1）"/>
      <w:lvlJc w:val="left"/>
      <w:rPr>
        <w:rFonts w:hint="eastAsia"/>
      </w:rPr>
    </w:lvl>
  </w:abstractNum>
  <w:abstractNum w:abstractNumId="2">
    <w:nsid w:val="6E9FC46E"/>
    <w:multiLevelType w:val="singleLevel"/>
    <w:tmpl w:val="6E9FC46E"/>
    <w:lvl w:ilvl="0" w:tentative="0">
      <w:start w:val="1"/>
      <w:numFmt w:val="chineseCounting"/>
      <w:suff w:val="nothing"/>
      <w:lvlText w:val="（%1）"/>
      <w:lvlJc w:val="left"/>
      <w:pPr>
        <w:ind w:left="640" w:leftChars="0" w:firstLine="0" w:firstLineChars="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lYjQxMzlmNTQ0ZmQ2M2ZlYjY0NzJmMDZhNjk1YmIifQ=="/>
  </w:docVars>
  <w:rsids>
    <w:rsidRoot w:val="15CC4264"/>
    <w:rsid w:val="15CC4264"/>
    <w:rsid w:val="22191DC5"/>
    <w:rsid w:val="2C372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Body Text"/>
    <w:basedOn w:val="1"/>
    <w:unhideWhenUsed/>
    <w:qFormat/>
    <w:uiPriority w:val="99"/>
    <w:pPr>
      <w:spacing w:after="120"/>
    </w:p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5">
    <w:name w:val="Body Text First Indent"/>
    <w:basedOn w:val="3"/>
    <w:next w:val="1"/>
    <w:unhideWhenUsed/>
    <w:qFormat/>
    <w:uiPriority w:val="0"/>
    <w:pPr>
      <w:ind w:firstLine="420" w:firstLineChars="100"/>
    </w:pPr>
  </w:style>
  <w:style w:type="paragraph" w:styleId="8">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1094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2025-06-17T07:01:00Z</dcterms:created>
  <dc:creator>彭尧</dc:creator>
  <cp:lastModifiedBy>彭尧</cp:lastModifiedBy>
  <cp:lastPrinted>2025-06-17T07:50:00Z</cp:lastPrinted>
  <dcterms:modified xsi:type="dcterms:W3CDTF">2025-06-19T01:39:52Z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708AF5C5A6A647B6A80D578D5671C547_11</vt:lpwstr>
  </property>
</Properties>
</file>