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center"/>
        <w:rPr>
          <w:sz w:val="56"/>
          <w:szCs w:val="56"/>
        </w:rPr>
      </w:pPr>
    </w:p>
    <w:p>
      <w:pPr>
        <w:pStyle w:val="16"/>
        <w:jc w:val="center"/>
        <w:rPr>
          <w:sz w:val="56"/>
          <w:szCs w:val="56"/>
        </w:rPr>
      </w:pPr>
    </w:p>
    <w:p>
      <w:pPr>
        <w:pStyle w:val="16"/>
        <w:jc w:val="center"/>
        <w:rPr>
          <w:sz w:val="84"/>
          <w:szCs w:val="84"/>
        </w:rPr>
      </w:pPr>
    </w:p>
    <w:p>
      <w:pPr>
        <w:pStyle w:val="16"/>
        <w:jc w:val="center"/>
        <w:rPr>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w:t>
      </w:r>
      <w:r>
        <w:rPr>
          <w:rFonts w:hint="eastAsia" w:ascii="方正小标宋_GBK" w:hAnsi="方正小标宋_GBK" w:eastAsia="方正小标宋_GBK" w:cs="方正小标宋_GBK"/>
          <w:sz w:val="84"/>
          <w:szCs w:val="84"/>
        </w:rPr>
        <w:t>部门决算</w:t>
      </w:r>
    </w:p>
    <w:p>
      <w:pPr>
        <w:pStyle w:val="16"/>
        <w:jc w:val="center"/>
        <w:rPr>
          <w:rFonts w:hint="eastAsia" w:ascii="方正小标宋_GBK" w:hAnsi="方正小标宋_GBK" w:eastAsia="方正小标宋_GBK" w:cs="方正小标宋_GBK"/>
          <w:sz w:val="56"/>
          <w:szCs w:val="56"/>
        </w:rPr>
      </w:pPr>
    </w:p>
    <w:p>
      <w:pPr>
        <w:pStyle w:val="16"/>
        <w:jc w:val="center"/>
        <w:rPr>
          <w:sz w:val="56"/>
          <w:szCs w:val="56"/>
        </w:rPr>
      </w:pPr>
    </w:p>
    <w:p>
      <w:pPr>
        <w:pStyle w:val="16"/>
        <w:jc w:val="center"/>
        <w:rPr>
          <w:sz w:val="56"/>
          <w:szCs w:val="56"/>
        </w:rPr>
      </w:pPr>
    </w:p>
    <w:p>
      <w:pPr>
        <w:pStyle w:val="16"/>
        <w:jc w:val="center"/>
        <w:rPr>
          <w:sz w:val="56"/>
          <w:szCs w:val="56"/>
        </w:rPr>
      </w:pPr>
    </w:p>
    <w:p>
      <w:pPr>
        <w:pStyle w:val="16"/>
        <w:jc w:val="center"/>
        <w:rPr>
          <w:sz w:val="32"/>
          <w:szCs w:val="32"/>
        </w:rPr>
      </w:pPr>
    </w:p>
    <w:p>
      <w:pPr>
        <w:pStyle w:val="16"/>
        <w:jc w:val="center"/>
        <w:rPr>
          <w:sz w:val="32"/>
          <w:szCs w:val="32"/>
        </w:rPr>
      </w:pPr>
    </w:p>
    <w:p>
      <w:pPr>
        <w:pStyle w:val="16"/>
        <w:jc w:val="center"/>
        <w:rPr>
          <w:sz w:val="32"/>
          <w:szCs w:val="32"/>
        </w:rPr>
      </w:pPr>
    </w:p>
    <w:p>
      <w:pPr>
        <w:pStyle w:val="16"/>
        <w:jc w:val="center"/>
        <w:rPr>
          <w:sz w:val="32"/>
          <w:szCs w:val="32"/>
        </w:rPr>
      </w:pPr>
    </w:p>
    <w:p>
      <w:pPr>
        <w:pStyle w:val="16"/>
        <w:spacing w:line="500" w:lineRule="exact"/>
        <w:jc w:val="center"/>
        <w:rPr>
          <w:b/>
          <w:sz w:val="36"/>
          <w:szCs w:val="28"/>
        </w:rPr>
      </w:pPr>
      <w:r>
        <w:rPr>
          <w:rFonts w:hint="eastAsia"/>
          <w:b/>
          <w:sz w:val="36"/>
          <w:szCs w:val="28"/>
        </w:rPr>
        <w:t>目录</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岳阳市城市建设档案馆</w:t>
      </w:r>
      <w:r>
        <w:rPr>
          <w:rFonts w:hint="eastAsia" w:ascii="黑体" w:hAnsi="黑体" w:eastAsia="黑体" w:cs="黑体"/>
          <w:b w:val="0"/>
          <w:bCs/>
          <w:sz w:val="28"/>
          <w:szCs w:val="28"/>
        </w:rPr>
        <w:t>概况</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6"/>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6"/>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6"/>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6"/>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6"/>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6"/>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w:t>
      </w:r>
      <w:r>
        <w:rPr>
          <w:rFonts w:hint="eastAsia" w:ascii="方正小标宋_GBK" w:hAnsi="方正小标宋_GBK" w:eastAsia="方正小标宋_GBK" w:cs="方正小标宋_GBK"/>
          <w:sz w:val="84"/>
          <w:szCs w:val="84"/>
        </w:rPr>
        <w:t>概况</w:t>
      </w:r>
    </w:p>
    <w:p>
      <w:pPr>
        <w:pStyle w:val="11"/>
        <w:rPr>
          <w:rFonts w:hint="eastAsia" w:ascii="方正小标宋_GBK" w:hAnsi="方正小标宋_GBK" w:eastAsia="方正小标宋_GBK" w:cs="方正小标宋_GBK"/>
          <w:sz w:val="84"/>
          <w:szCs w:val="84"/>
        </w:rPr>
      </w:pPr>
    </w:p>
    <w:p>
      <w:pPr>
        <w:pStyle w:val="7"/>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11"/>
        <w:rPr>
          <w:rFonts w:hint="eastAsia" w:ascii="方正小标宋_GBK" w:hAnsi="方正小标宋_GBK" w:eastAsia="方正小标宋_GBK" w:cs="方正小标宋_GBK"/>
          <w:sz w:val="84"/>
          <w:szCs w:val="84"/>
        </w:rPr>
      </w:pPr>
    </w:p>
    <w:p>
      <w:pPr>
        <w:pStyle w:val="7"/>
        <w:rPr>
          <w:rFonts w:hint="eastAsia" w:ascii="方正小标宋_GBK" w:hAnsi="方正小标宋_GBK" w:eastAsia="方正小标宋_GBK" w:cs="方正小标宋_GBK"/>
          <w:sz w:val="84"/>
          <w:szCs w:val="84"/>
        </w:rPr>
      </w:pPr>
    </w:p>
    <w:p>
      <w:pPr>
        <w:pStyle w:val="17"/>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（一）负责拟定城建档案发展规划。</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（二）负责城市规划区范围内的城建档案的统一管理。</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（三）负责做好进馆档案的保管、保护工作。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（四）负责依法收集、接受、征集市区范围内产生的需永久和长期保管的城建档案等有关资料。</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（五）负责开发城建档案信息资源。</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（六）负责县（市、区）城建档案工作的指导、监督、检查。</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（七）负责城市规划区范围内地下管线资料及数据的收集、管理、利用工作。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（八）负责住房和城乡建设信息资源管理、信息系统规划建设、智慧住建等行政辅助和技术保障工作。</w:t>
      </w:r>
    </w:p>
    <w:p>
      <w:pPr>
        <w:keepNext/>
        <w:keepLines/>
        <w:shd w:val="clear" w:color="auto" w:fill="FFFFFF"/>
        <w:spacing w:beforeLines="0" w:afterLines="0"/>
        <w:jc w:val="left"/>
        <w:rPr>
          <w:rFonts w:hint="eastAsia" w:ascii="Times New Roman" w:hAnsi="Times New Roman" w:eastAsia="仿宋_GB2312" w:cs="仿宋_GB2312"/>
          <w:sz w:val="32"/>
          <w:szCs w:val="32"/>
        </w:rPr>
      </w:pPr>
      <w:r>
        <w:rPr>
          <w:rFonts w:hint="eastAsia" w:ascii="Times New Roman" w:hAnsi="Times New Roman" w:eastAsia="仿宋_GB2312" w:cs="仿宋_GB2312"/>
          <w:bCs/>
          <w:kern w:val="0"/>
          <w:sz w:val="32"/>
          <w:szCs w:val="32"/>
        </w:rPr>
        <w:t>（九）完成市住建局交办的其他工作</w:t>
      </w:r>
      <w:r>
        <w:rPr>
          <w:rFonts w:ascii="Times New Roman" w:hAnsi="Times New Roman" w:eastAsia="仿宋_GB2312" w:cs="仿宋_GB2312"/>
          <w:bCs/>
          <w:kern w:val="0"/>
          <w:sz w:val="32"/>
          <w:szCs w:val="32"/>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岳阳市城市建设档案馆</w:t>
      </w:r>
      <w:r>
        <w:rPr>
          <w:rFonts w:hint="eastAsia" w:ascii="Times New Roman" w:hAnsi="Times New Roman" w:eastAsia="仿宋_GB2312" w:cs="仿宋_GB2312"/>
          <w:bCs/>
          <w:kern w:val="0"/>
          <w:sz w:val="32"/>
          <w:szCs w:val="32"/>
        </w:rPr>
        <w:t>内设机构包括：综合室、业务室、信息室。</w:t>
      </w:r>
    </w:p>
    <w:p>
      <w:pPr>
        <w:widowControl/>
        <w:spacing w:line="600" w:lineRule="exact"/>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val="en-US" w:eastAsia="zh-CN"/>
        </w:rPr>
        <w:t>本单位无独立核算的下属单位，2024年度部门决算汇总公开单位仅包括岳阳市城市建设档案馆本级。</w:t>
      </w: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6"/>
        <w:jc w:val="center"/>
        <w:rPr>
          <w:rFonts w:hint="eastAsia" w:ascii="方正小标宋_GBK" w:hAnsi="方正小标宋_GBK" w:eastAsia="方正小标宋_GBK" w:cs="方正小标宋_GBK"/>
          <w:sz w:val="84"/>
          <w:szCs w:val="84"/>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6"/>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仿宋_GB2312" w:hAnsi="仿宋_GB2312" w:eastAsia="仿宋_GB2312" w:cs="仿宋_GB2312"/>
          <w:b w:val="0"/>
          <w:bCs w:val="0"/>
          <w:sz w:val="72"/>
          <w:szCs w:val="72"/>
          <w:lang w:eastAsia="zh-CN"/>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both"/>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pStyle w:val="16"/>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959.37</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27.89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2.99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有其他收入。</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959.37</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89.58</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10.42</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328.59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38.24</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530.78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61.76</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6"/>
        <w:keepNext w:val="0"/>
        <w:keepLines w:val="0"/>
        <w:pageBreakBefore w:val="0"/>
        <w:widowControl w:val="0"/>
        <w:kinsoku/>
        <w:wordWrap/>
        <w:overflowPunct/>
        <w:topLinePunct w:val="0"/>
        <w:bidi w:val="0"/>
        <w:snapToGrid/>
        <w:spacing w:line="600" w:lineRule="exact"/>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71.96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7.73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建设档案事务管理经费和城市管网及污水处理补助项目资金收支减少。</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89.58</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71.96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7.73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建设档案事务管理经费和城市管网及污水处理补助项目资金支出减少。</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32.65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3.80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9.58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409.89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47.70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155.51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18.09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233.29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18.45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397.98</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859.37</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215.93</w:t>
      </w:r>
      <w:r>
        <w:rPr>
          <w:rFonts w:hint="eastAsia" w:ascii="仿宋_GB2312" w:hAnsi="仿宋_GB2312" w:eastAsia="仿宋_GB2312" w:cs="仿宋_GB2312"/>
          <w:sz w:val="32"/>
          <w:szCs w:val="32"/>
        </w:rPr>
        <w:t>%，其中：</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25.50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25.39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96.57</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残疾人事业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其他残疾人事业支出</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我单位严格按预算执行决算。</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5.20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5.20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我单位严格按预算执行决算。</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事业单位医疗</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9.58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9.58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我单位严格按预算执行决算。</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污染防治</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水体</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409.89</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本年度使用的为上年度安排的城市管网及污水处理补助资金。</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其他城乡社区管理事务支出</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15.89</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年中追加2024年人员经费补差。</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120.89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120.89</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年中追加上年度应付未付的档案事务管理经费。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18.73</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年中追加市级基础绩效奖和年度考核奖，12月追加退休人员年终一个月工资奖。</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建筑业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行政运行</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237.20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233.29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98.35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基础绩效奖按2.5万/人/年标准安排，我单位在职人员年轻化，没有达到2.5万/人/年。</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w:t>
      </w:r>
      <w:r>
        <w:rPr>
          <w:rFonts w:hint="eastAsia" w:ascii="仿宋_GB2312" w:hAnsi="仿宋_GB2312" w:eastAsia="仿宋_GB2312" w:cs="仿宋_GB2312"/>
          <w:sz w:val="32"/>
          <w:szCs w:val="32"/>
        </w:rPr>
        <w:t>（项）。</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18.45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18.45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val="en-US" w:eastAsia="zh-CN"/>
        </w:rPr>
        <w:t>我单位严格按预算执行决算。</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328.59</w:t>
      </w:r>
      <w:r>
        <w:rPr>
          <w:rFonts w:hint="eastAsia" w:ascii="仿宋_GB2312" w:hAnsi="仿宋_GB2312" w:eastAsia="仿宋_GB2312" w:cs="仿宋_GB2312"/>
          <w:sz w:val="32"/>
          <w:szCs w:val="32"/>
        </w:rPr>
        <w:t>万元，其中：</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b/>
          <w:bCs/>
          <w:sz w:val="32"/>
          <w:szCs w:val="32"/>
          <w:lang w:val="en-US" w:eastAsia="zh-CN"/>
        </w:rPr>
        <w:t>304.61</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绩效工资、机关事业单位基本养老保险缴费、职工基本医疗保险缴费、其他社会保障缴费、住房公积金、</w:t>
      </w:r>
      <w:r>
        <w:rPr>
          <w:rFonts w:hint="eastAsia" w:ascii="Times New Roman" w:hAnsi="Times New Roman" w:eastAsia="仿宋_GB2312"/>
          <w:sz w:val="32"/>
          <w:szCs w:val="32"/>
        </w:rPr>
        <w:t>退休费、医疗费补助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奖励金。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bCs/>
          <w:sz w:val="32"/>
          <w:szCs w:val="32"/>
          <w:lang w:val="en-US" w:eastAsia="zh-CN"/>
        </w:rPr>
        <w:t>23.98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7.30</w:t>
      </w:r>
      <w:r>
        <w:rPr>
          <w:rFonts w:hint="eastAsia" w:ascii="仿宋_GB2312" w:hAnsi="仿宋_GB2312" w:eastAsia="仿宋_GB2312" w:cs="仿宋_GB2312"/>
          <w:sz w:val="32"/>
          <w:szCs w:val="32"/>
        </w:rPr>
        <w:t>%，主要包括办公费、</w:t>
      </w:r>
      <w:r>
        <w:rPr>
          <w:rFonts w:hint="eastAsia" w:ascii="仿宋_GB2312" w:hAnsi="仿宋_GB2312" w:eastAsia="仿宋_GB2312" w:cs="仿宋_GB2312"/>
          <w:sz w:val="32"/>
          <w:szCs w:val="32"/>
          <w:lang w:val="en-US" w:eastAsia="zh-CN"/>
        </w:rPr>
        <w:t>电费、物业管理费、差旅费、维修（护）费、专用材料费、委托业务费、工会经费、福利费、其他交通费用、其他商品和服务支出</w:t>
      </w:r>
      <w:r>
        <w:rPr>
          <w:rFonts w:hint="eastAsia" w:ascii="仿宋_GB2312" w:hAnsi="仿宋_GB2312" w:eastAsia="仿宋_GB2312" w:cs="仿宋_GB2312"/>
          <w:sz w:val="32"/>
          <w:szCs w:val="32"/>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highlight w:val="none"/>
          <w:lang w:val="en-US" w:eastAsia="zh-CN" w:bidi="ar-SA"/>
        </w:rPr>
        <w:t>；年末结转和结余0万元。</w:t>
      </w:r>
    </w:p>
    <w:p>
      <w:pPr>
        <w:pStyle w:val="16"/>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6"/>
        <w:overflowPunct w:val="0"/>
        <w:autoSpaceDE/>
        <w:autoSpaceDN/>
        <w:spacing w:line="600" w:lineRule="exact"/>
        <w:ind w:firstLine="640" w:firstLineChars="200"/>
        <w:jc w:val="both"/>
        <w:rPr>
          <w:rFonts w:ascii="Times New Roman" w:hAnsi="Times New Roman" w:eastAsia="楷体_GB2312" w:cs="Times New Roman"/>
          <w:b/>
          <w:color w:val="auto"/>
          <w:sz w:val="32"/>
          <w:szCs w:val="32"/>
        </w:rPr>
      </w:pPr>
      <w:r>
        <w:rPr>
          <w:rFonts w:ascii="Times New Roman" w:hAnsi="Times New Roman" w:eastAsia="楷体_GB2312" w:cs="Times New Roman"/>
          <w:b/>
          <w:color w:val="auto"/>
          <w:sz w:val="32"/>
          <w:szCs w:val="32"/>
        </w:rPr>
        <w:t>（一）</w:t>
      </w:r>
      <w:r>
        <w:rPr>
          <w:rFonts w:hint="eastAsia" w:ascii="Times New Roman" w:hAnsi="Times New Roman" w:eastAsia="楷体_GB2312" w:cs="Times New Roman"/>
          <w:b/>
          <w:color w:val="auto"/>
          <w:sz w:val="32"/>
          <w:szCs w:val="32"/>
          <w:lang w:eastAsia="zh-CN"/>
        </w:rPr>
        <w:t>“三公”</w:t>
      </w:r>
      <w:r>
        <w:rPr>
          <w:rFonts w:ascii="Times New Roman" w:hAnsi="Times New Roman" w:eastAsia="楷体_GB2312" w:cs="Times New Roman"/>
          <w:b/>
          <w:color w:val="auto"/>
          <w:sz w:val="32"/>
          <w:szCs w:val="32"/>
        </w:rPr>
        <w:t>经费财政拨款支出决算总体情况说明</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2024年度“三公”经费财政拨款支出预算为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决算数等于预算数</w:t>
      </w:r>
      <w:r>
        <w:rPr>
          <w:rFonts w:hint="eastAsia" w:ascii="Times New Roman" w:hAnsi="Times New Roman" w:eastAsia="仿宋_GB2312" w:cs="Times New Roman"/>
          <w:color w:val="auto"/>
          <w:sz w:val="32"/>
          <w:szCs w:val="32"/>
          <w:lang w:val="en-US" w:eastAsia="zh-CN"/>
        </w:rPr>
        <w:t>，主要原因是我单位严格按预算执行决算；与上年一致，无增减变动，主要原因是按有关政策厉行节约，严控“三公经费”支出。</w:t>
      </w:r>
    </w:p>
    <w:p>
      <w:pPr>
        <w:pStyle w:val="16"/>
        <w:overflowPunct w:val="0"/>
        <w:autoSpaceDE/>
        <w:autoSpaceDN/>
        <w:spacing w:line="600" w:lineRule="exact"/>
        <w:ind w:firstLine="640" w:firstLineChars="200"/>
        <w:jc w:val="both"/>
        <w:rPr>
          <w:rFonts w:ascii="Times New Roman" w:hAnsi="Times New Roman" w:eastAsia="楷体_GB2312" w:cs="Times New Roman"/>
          <w:b/>
          <w:color w:val="auto"/>
          <w:sz w:val="32"/>
          <w:szCs w:val="32"/>
        </w:rPr>
      </w:pPr>
      <w:r>
        <w:rPr>
          <w:rFonts w:ascii="Times New Roman" w:hAnsi="Times New Roman" w:eastAsia="楷体_GB2312" w:cs="Times New Roman"/>
          <w:b/>
          <w:color w:val="auto"/>
          <w:sz w:val="32"/>
          <w:szCs w:val="32"/>
        </w:rPr>
        <w:t>（二）</w:t>
      </w:r>
      <w:r>
        <w:rPr>
          <w:rFonts w:hint="eastAsia" w:ascii="Times New Roman" w:hAnsi="Times New Roman" w:eastAsia="楷体_GB2312" w:cs="Times New Roman"/>
          <w:b/>
          <w:color w:val="auto"/>
          <w:sz w:val="32"/>
          <w:szCs w:val="32"/>
          <w:lang w:eastAsia="zh-CN"/>
        </w:rPr>
        <w:t>“三公”</w:t>
      </w:r>
      <w:r>
        <w:rPr>
          <w:rFonts w:ascii="Times New Roman" w:hAnsi="Times New Roman" w:eastAsia="楷体_GB2312" w:cs="Times New Roman"/>
          <w:b/>
          <w:color w:val="auto"/>
          <w:sz w:val="32"/>
          <w:szCs w:val="32"/>
        </w:rPr>
        <w:t>经费财政拨款支出决算具体情况说明</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1.因公出国（境）费支出预算为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决算数等于预算数</w:t>
      </w:r>
      <w:r>
        <w:rPr>
          <w:rFonts w:hint="eastAsia" w:ascii="Times New Roman" w:hAnsi="Times New Roman" w:eastAsia="仿宋_GB2312" w:cs="Times New Roman"/>
          <w:color w:val="auto"/>
          <w:sz w:val="32"/>
          <w:szCs w:val="32"/>
          <w:lang w:val="en-US" w:eastAsia="zh-CN"/>
        </w:rPr>
        <w:t>，主要原因是我单位严格按预算执行决算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与上年一致，无增减变动，主要原因是未安排因公出国（境）活动。</w:t>
      </w:r>
      <w:r>
        <w:rPr>
          <w:rFonts w:ascii="Times New Roman" w:hAnsi="Times New Roman" w:eastAsia="仿宋_GB2312" w:cs="Times New Roman"/>
          <w:color w:val="auto"/>
          <w:sz w:val="32"/>
          <w:szCs w:val="32"/>
        </w:rPr>
        <w:t>2024年度安排因公出国（境）团组</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个，累计</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人次</w:t>
      </w:r>
      <w:r>
        <w:rPr>
          <w:rFonts w:hint="eastAsia" w:ascii="Times New Roman" w:hAnsi="Times New Roman" w:eastAsia="仿宋_GB2312" w:cs="Times New Roman"/>
          <w:color w:val="auto"/>
          <w:sz w:val="32"/>
          <w:szCs w:val="32"/>
          <w:lang w:eastAsia="zh-CN"/>
        </w:rPr>
        <w:t>。</w:t>
      </w:r>
    </w:p>
    <w:p>
      <w:pPr>
        <w:pStyle w:val="16"/>
        <w:overflowPunct w:val="0"/>
        <w:autoSpaceDE/>
        <w:autoSpaceDN/>
        <w:spacing w:line="600" w:lineRule="exact"/>
        <w:ind w:firstLine="640" w:firstLineChars="200"/>
        <w:jc w:val="both"/>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2.公务用车购置费及运行维护费支出预算为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决算数等于预算数</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w:t>
      </w:r>
      <w:r>
        <w:rPr>
          <w:rFonts w:ascii="Times New Roman" w:hAnsi="Times New Roman" w:eastAsia="仿宋_GB2312" w:cs="Times New Roman"/>
          <w:color w:val="auto"/>
          <w:sz w:val="32"/>
          <w:szCs w:val="32"/>
        </w:rPr>
        <w:t>。其中：</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ascii="Times New Roman" w:hAnsi="Times New Roman" w:eastAsia="仿宋_GB2312" w:cs="Times New Roman"/>
          <w:color w:val="auto"/>
          <w:sz w:val="32"/>
          <w:szCs w:val="32"/>
        </w:rPr>
        <w:t>公务用车购置费支出预算为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决算数等于预算数，主要原因是我单位严格按预算执行决算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与上年一致，无增减变动，主要原因是两年均未购置公务用车。本单位</w:t>
      </w:r>
      <w:r>
        <w:rPr>
          <w:rFonts w:ascii="Times New Roman" w:hAnsi="Times New Roman" w:eastAsia="仿宋_GB2312" w:cs="Times New Roman"/>
          <w:color w:val="auto"/>
          <w:sz w:val="32"/>
          <w:szCs w:val="32"/>
        </w:rPr>
        <w:t>更新公务用车</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辆</w:t>
      </w:r>
      <w:r>
        <w:rPr>
          <w:rFonts w:hint="eastAsia" w:ascii="Times New Roman" w:hAnsi="Times New Roman" w:eastAsia="仿宋_GB2312" w:cs="Times New Roman"/>
          <w:color w:val="auto"/>
          <w:sz w:val="32"/>
          <w:szCs w:val="32"/>
          <w:lang w:eastAsia="zh-CN"/>
        </w:rPr>
        <w:t>。</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公</w:t>
      </w:r>
      <w:r>
        <w:rPr>
          <w:rFonts w:ascii="Times New Roman" w:hAnsi="Times New Roman" w:eastAsia="仿宋_GB2312" w:cs="Times New Roman"/>
          <w:color w:val="auto"/>
          <w:sz w:val="32"/>
          <w:szCs w:val="32"/>
        </w:rPr>
        <w:t>务用车运行维护费支出预算为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 xml:space="preserve">决算数等于预算数，主要原因是我单位严格按预算执行决算；与上年一致，无增减变动，主要原因是两年均无公务用车需要运行维护。 </w:t>
      </w:r>
      <w:r>
        <w:rPr>
          <w:rFonts w:ascii="Times New Roman" w:hAnsi="Times New Roman" w:eastAsia="仿宋_GB2312" w:cs="Times New Roman"/>
          <w:color w:val="auto"/>
          <w:sz w:val="32"/>
          <w:szCs w:val="32"/>
        </w:rPr>
        <w:t>截止</w:t>
      </w:r>
      <w:r>
        <w:rPr>
          <w:rFonts w:hint="eastAsia" w:ascii="Times New Roman" w:hAnsi="Times New Roman" w:eastAsia="仿宋_GB2312" w:cs="Times New Roman"/>
          <w:color w:val="auto"/>
          <w:sz w:val="32"/>
          <w:szCs w:val="32"/>
          <w:lang w:eastAsia="zh-CN"/>
        </w:rPr>
        <w:t>到</w:t>
      </w:r>
      <w:r>
        <w:rPr>
          <w:rFonts w:ascii="Times New Roman" w:hAnsi="Times New Roman" w:eastAsia="仿宋_GB2312" w:cs="Times New Roman"/>
          <w:color w:val="auto"/>
          <w:sz w:val="32"/>
          <w:szCs w:val="32"/>
        </w:rPr>
        <w:t>2024年12月31日，我单位开支财政拨款的公务用车保有量为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辆。</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公务接待费支出预算为</w:t>
      </w:r>
      <w:r>
        <w:rPr>
          <w:rFonts w:hint="eastAsia" w:ascii="Times New Roman" w:hAnsi="Times New Roman" w:eastAsia="仿宋_GB2312" w:cs="Times New Roman"/>
          <w:color w:val="auto"/>
          <w:sz w:val="32"/>
          <w:szCs w:val="32"/>
          <w:lang w:val="en-US" w:eastAsia="zh-CN"/>
        </w:rPr>
        <w:t xml:space="preserve"> 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决算数等于预算数，主要原因是严格执行中央八项规定；与上年一致，无增减变动，主要原因是按有关政策厉行节约，严控公务接待支出。</w:t>
      </w:r>
      <w:r>
        <w:rPr>
          <w:rFonts w:ascii="Times New Roman" w:hAnsi="Times New Roman" w:eastAsia="仿宋_GB2312" w:cs="Times New Roman"/>
          <w:color w:val="auto"/>
          <w:sz w:val="32"/>
          <w:szCs w:val="32"/>
        </w:rPr>
        <w:t>2024年度共接待来访团组</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个、来宾</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人次</w:t>
      </w:r>
      <w:r>
        <w:rPr>
          <w:rFonts w:hint="eastAsia" w:ascii="Times New Roman" w:hAnsi="Times New Roman" w:eastAsia="仿宋_GB2312" w:cs="Times New Roman"/>
          <w:color w:val="auto"/>
          <w:sz w:val="32"/>
          <w:szCs w:val="32"/>
          <w:lang w:eastAsia="zh-CN"/>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本级和所属单位均为事业单位，按照机关运行经费的口径，本年度机关运行经费为0。</w:t>
      </w:r>
    </w:p>
    <w:p>
      <w:pPr>
        <w:pStyle w:val="16"/>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一般性支出情况说明</w:t>
      </w:r>
    </w:p>
    <w:p>
      <w:pPr>
        <w:pStyle w:val="16"/>
        <w:overflowPunct w:val="0"/>
        <w:autoSpaceDE/>
        <w:autoSpaceDN/>
        <w:spacing w:line="600" w:lineRule="exact"/>
        <w:ind w:firstLine="640" w:firstLineChars="20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本单位无会议费的预算和支出决算数；本单位无培训费的预算和支出决算数；本单位无举办节庆、晚会、论坛、赛事等活动的预算和支出决算数。</w:t>
      </w:r>
    </w:p>
    <w:p>
      <w:pPr>
        <w:pStyle w:val="16"/>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w:t>
      </w:r>
      <w:r>
        <w:rPr>
          <w:rFonts w:hint="eastAsia" w:ascii="Times New Roman" w:hAnsi="Times New Roman" w:eastAsia="仿宋_GB2312" w:cs="Times New Roman"/>
          <w:color w:val="auto"/>
          <w:sz w:val="32"/>
          <w:szCs w:val="32"/>
          <w:lang w:val="en-US" w:eastAsia="zh-CN"/>
        </w:rPr>
        <w:t>本单位无会议费的预算和支出决算数</w:t>
      </w:r>
      <w:r>
        <w:rPr>
          <w:rFonts w:hint="eastAsia" w:ascii="仿宋_GB2312" w:hAnsi="仿宋_GB2312" w:eastAsia="仿宋_GB2312" w:cs="仿宋_GB2312"/>
          <w:sz w:val="32"/>
          <w:szCs w:val="32"/>
          <w:lang w:eastAsia="zh-CN"/>
        </w:rPr>
        <w:t>。</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培训费年初预算0万元，另有项目支出培训费预算2万元，支出决算为0.28万元，完成年初预算的14.00%。用于开展档案业务培训，人数1人，内容为城建档案专业知识、业务管理能力提升培训。</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w:t>
      </w:r>
      <w:r>
        <w:rPr>
          <w:rFonts w:hint="eastAsia" w:ascii="Times New Roman" w:hAnsi="Times New Roman" w:eastAsia="仿宋_GB2312" w:cs="Times New Roman"/>
          <w:color w:val="auto"/>
          <w:sz w:val="32"/>
          <w:szCs w:val="32"/>
          <w:lang w:val="en-US" w:eastAsia="zh-CN"/>
        </w:rPr>
        <w:t>本单位无举办节庆、晚会、论坛、赛事等活动的预算和支出决算数</w:t>
      </w:r>
      <w:r>
        <w:rPr>
          <w:rFonts w:hint="eastAsia" w:ascii="仿宋_GB2312" w:hAnsi="仿宋_GB2312" w:eastAsia="仿宋_GB2312" w:cs="仿宋_GB2312"/>
          <w:color w:val="000000"/>
          <w:kern w:val="0"/>
          <w:sz w:val="32"/>
          <w:szCs w:val="32"/>
          <w:lang w:val="en-US" w:eastAsia="zh-CN" w:bidi="ar-SA"/>
        </w:rPr>
        <w:t>。</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470.60</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11.74</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458.86</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452.51</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96.16</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42.37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9.36</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96.18</w:t>
      </w:r>
      <w:r>
        <w:rPr>
          <w:rFonts w:hint="eastAsia" w:ascii="仿宋_GB2312" w:hAnsi="仿宋_GB2312" w:eastAsia="仿宋_GB2312" w:cs="仿宋_GB2312"/>
          <w:color w:val="auto"/>
          <w:sz w:val="32"/>
          <w:szCs w:val="32"/>
        </w:rPr>
        <w:t>%。</w:t>
      </w:r>
    </w:p>
    <w:p>
      <w:pPr>
        <w:pStyle w:val="16"/>
        <w:keepNext w:val="0"/>
        <w:keepLines w:val="0"/>
        <w:pageBreakBefore w:val="0"/>
        <w:widowControl w:val="0"/>
        <w:numPr>
          <w:ilvl w:val="0"/>
          <w:numId w:val="3"/>
        </w:numPr>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关于国有资产占用情况说明</w:t>
      </w:r>
    </w:p>
    <w:p>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i w:val="0"/>
          <w:iCs/>
          <w:color w:val="auto"/>
          <w:sz w:val="32"/>
          <w:szCs w:val="32"/>
          <w:lang w:val="en-US" w:eastAsia="zh-CN"/>
        </w:rPr>
        <w:t>截至2024年12月31日，本单位共有车辆0辆，其中，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r>
        <w:rPr>
          <w:rFonts w:hint="eastAsia" w:ascii="仿宋_GB2312" w:hAnsi="仿宋_GB2312" w:eastAsia="仿宋_GB2312" w:cs="仿宋_GB2312"/>
          <w:color w:val="auto"/>
          <w:sz w:val="32"/>
          <w:szCs w:val="32"/>
          <w:lang w:eastAsia="zh-CN"/>
        </w:rPr>
        <w:t>。</w:t>
      </w:r>
    </w:p>
    <w:p>
      <w:pPr>
        <w:pStyle w:val="16"/>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 xml:space="preserve"> 个，共涉及资金</w:t>
      </w:r>
      <w:r>
        <w:rPr>
          <w:rFonts w:hint="eastAsia" w:ascii="Times New Roman" w:hAnsi="Times New Roman" w:eastAsia="仿宋_GB2312" w:cs="Times New Roman"/>
          <w:kern w:val="0"/>
          <w:sz w:val="32"/>
          <w:szCs w:val="32"/>
          <w:lang w:val="en-US" w:eastAsia="zh-CN"/>
        </w:rPr>
        <w:t>859.37</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530.78</w:t>
      </w:r>
      <w:r>
        <w:rPr>
          <w:rFonts w:ascii="Times New Roman" w:hAnsi="Times New Roman" w:eastAsia="仿宋_GB2312" w:cs="Times New Roman"/>
          <w:kern w:val="0"/>
          <w:sz w:val="32"/>
          <w:szCs w:val="32"/>
        </w:rPr>
        <w:t xml:space="preserve"> 万元，占一般公共预算支出总额的</w:t>
      </w:r>
      <w:r>
        <w:rPr>
          <w:rFonts w:hint="eastAsia" w:ascii="Times New Roman" w:hAnsi="Times New Roman" w:eastAsia="仿宋_GB2312" w:cs="Times New Roman"/>
          <w:kern w:val="0"/>
          <w:sz w:val="32"/>
          <w:szCs w:val="32"/>
          <w:lang w:val="en-US" w:eastAsia="zh-CN"/>
        </w:rPr>
        <w:t>61.76</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w:t>
      </w:r>
    </w:p>
    <w:p>
      <w:pPr>
        <w:pStyle w:val="2"/>
        <w:ind w:firstLine="640"/>
        <w:rPr>
          <w:rFonts w:hint="eastAsia"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我馆以档案馆基础业务为工作主线，结合电子文件与电子档案管理、数字档案馆建设等相关规范、标准，继续夯实档案验收（含地下管线资料）、档案保管（含地下管线资料）、档案利用（含地下管线资料）三大基础：完成档案验收项目87个；完成城建档案收集入库2.3万卷；档案查询利用3.87万卷，其中文字资料1.22万卷，图纸2.65万幅，查询利用958人次；档案查询利用服务满意率98%以上。</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bidi="ar-SA"/>
        </w:rPr>
        <w:t>信息化建设方面：一是有序开放政务公开信息数据。在门户网站发布信息共计1679条，招投标监管网发布107条。门户网站内容涵盖政务公开、行业管理、施工许可、红黄牌管理、商品房预售许可等多个方面，涉及政务公开类622条、行业管理171条、施工许可57条、红黄牌128条、商品房预售许可24条等。此外，局微信公众号发布69期内容，累计用户达到4836人，新增用户658人。二是及时准确报送协税数据。向市大数据中心数据共享平台报送协税数据6485条，确保数据及时、准确地传输与共享，为决策提供数据支持。三是扎实开展住建系统日常维护。</w:t>
      </w:r>
      <w:bookmarkStart w:id="9" w:name="_GoBack"/>
      <w:bookmarkEnd w:id="9"/>
      <w:r>
        <w:rPr>
          <w:rFonts w:hint="eastAsia" w:ascii="Times New Roman" w:hAnsi="Times New Roman" w:eastAsia="仿宋_GB2312" w:cs="Times New Roman"/>
          <w:color w:val="auto"/>
          <w:kern w:val="0"/>
          <w:sz w:val="32"/>
          <w:szCs w:val="32"/>
          <w:lang w:val="en-US" w:eastAsia="zh-CN" w:bidi="ar-SA"/>
        </w:rPr>
        <w:t>完成1156次日常维护工作，涵盖网络设备、办公设备的维护与更新，办公区域搬迁、视频会议日常开展，一楼电子屏宣传展示等工作，有效保障机关各项工作正常运行。四是认真做好楼盘表维护与合同推送。安排专人负责楼盘表和合同推送工作，确保微信工作群内即时响应、实时调度，及时推送不动产登记所需数据，有效处理备案、维修资金窗口等日常业务，做到当天办理、当天解决，为市民提供高效便捷的服务。五是加强信息安全管理。完善制度建设，把机房管理、信息安全、保密工作等执行办法纳入制度管理。积极开展网络安全培训和网络安全专项检查，增强网络安全意识、防患化解风险隐患。</w:t>
      </w:r>
    </w:p>
    <w:p>
      <w:pPr>
        <w:numPr>
          <w:ilvl w:val="0"/>
          <w:numId w:val="4"/>
        </w:numPr>
        <w:overflowPunct w:val="0"/>
        <w:spacing w:line="600" w:lineRule="exact"/>
        <w:ind w:firstLine="640" w:firstLineChars="200"/>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部门评价开展情况。</w:t>
      </w:r>
      <w:r>
        <w:rPr>
          <w:rFonts w:hint="eastAsia" w:ascii="Times New Roman" w:hAnsi="Times New Roman" w:eastAsia="仿宋_GB2312" w:cs="Times New Roman"/>
          <w:color w:val="auto"/>
          <w:kern w:val="0"/>
          <w:sz w:val="32"/>
          <w:szCs w:val="32"/>
          <w:lang w:val="en-US" w:eastAsia="zh-CN"/>
        </w:rPr>
        <w:t>本单位为二级预算单位，部门评价开展情况可详见上级部门决算公开说明。</w:t>
      </w:r>
    </w:p>
    <w:p>
      <w:pPr>
        <w:numPr>
          <w:ilvl w:val="0"/>
          <w:numId w:val="4"/>
        </w:numPr>
        <w:overflowPunct w:val="0"/>
        <w:spacing w:line="600" w:lineRule="exact"/>
        <w:ind w:left="0" w:leftChars="0" w:firstLine="640" w:firstLineChars="200"/>
        <w:rPr>
          <w:rFonts w:ascii="Times New Roman" w:hAnsi="Times New Roman" w:eastAsia="仿宋_GB2312" w:cs="Times New Roman"/>
          <w:b/>
          <w:bCs/>
          <w:color w:val="auto"/>
          <w:kern w:val="0"/>
          <w:sz w:val="32"/>
          <w:szCs w:val="32"/>
        </w:rPr>
      </w:pP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color w:val="auto"/>
          <w:kern w:val="0"/>
          <w:sz w:val="32"/>
          <w:szCs w:val="32"/>
          <w:lang w:val="en-US" w:eastAsia="zh-CN"/>
        </w:rPr>
        <w:t>本单位为二级预算单位，事前绩效评估开展情况可详见上级部门决算公开说明。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pStyle w:val="5"/>
        <w:spacing w:before="0" w:after="0" w:line="600" w:lineRule="exact"/>
        <w:ind w:firstLine="640" w:firstLineChars="200"/>
        <w:rPr>
          <w:rFonts w:hint="eastAsia" w:ascii="Times New Roman" w:hAnsi="Times New Roman" w:eastAsia="仿宋_GB2312" w:cs="Times New Roman"/>
          <w:kern w:val="0"/>
          <w:sz w:val="32"/>
          <w:szCs w:val="32"/>
          <w:lang w:eastAsia="zh-CN"/>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1853.67</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859.37</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46.36</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kern w:val="0"/>
          <w:sz w:val="32"/>
          <w:szCs w:val="32"/>
          <w:lang w:val="en-US" w:eastAsia="zh-CN"/>
        </w:rPr>
        <w:t>88.56</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良好</w:t>
      </w:r>
      <w:r>
        <w:rPr>
          <w:rFonts w:ascii="Times New Roman" w:hAnsi="Times New Roman" w:eastAsia="仿宋_GB2312" w:cs="Times New Roman"/>
          <w:sz w:val="32"/>
          <w:szCs w:val="32"/>
        </w:rPr>
        <w:t>”。绩效目标完成情况：</w:t>
      </w:r>
      <w:r>
        <w:rPr>
          <w:rFonts w:hint="eastAsia" w:ascii="Times New Roman" w:hAnsi="Times New Roman" w:eastAsia="仿宋_GB2312" w:cs="Times New Roman"/>
          <w:color w:val="auto"/>
          <w:kern w:val="0"/>
          <w:sz w:val="32"/>
          <w:szCs w:val="32"/>
          <w:lang w:val="en-US" w:eastAsia="zh-CN"/>
        </w:rPr>
        <w:t>一是我馆以档案馆基础业务为工作主线，结合电子文件与电子档案管理、数字档案馆建设等相关规范、标准，继续夯实档案验收（含地下管线资料）、档案保管（含地下管线资料）、档案利用（含地下管线资料）三大基础：完成档案验收项目87个；完成城建档案收集入库2.3万卷；档案查询利用3.87万卷，其中文字资料1.22万卷，图纸2.65万幅，查询利用958人次；档案查询利用服务满意率98%以上；二是持续精细化管理，以提升服务效能为核心，全面落实我市城建档案事业高质量发展部署，明确发展策略和措施，进一步提升了我馆规范化建设水平；三是住房和城乡建设局信息系统全年正常运转</w:t>
      </w:r>
      <w:r>
        <w:rPr>
          <w:rFonts w:ascii="Times New Roman" w:hAnsi="Times New Roman" w:eastAsia="仿宋_GB2312" w:cs="Times New Roman"/>
          <w:sz w:val="32"/>
          <w:szCs w:val="32"/>
        </w:rPr>
        <w:t>。发现的主要问题及原因：</w:t>
      </w:r>
      <w:r>
        <w:rPr>
          <w:rFonts w:hint="eastAsia" w:ascii="Times New Roman" w:hAnsi="Times New Roman" w:eastAsia="仿宋_GB2312" w:cs="Times New Roman"/>
          <w:sz w:val="32"/>
          <w:szCs w:val="32"/>
          <w:lang w:val="en-US" w:eastAsia="zh-CN"/>
        </w:rPr>
        <w:t>一是</w:t>
      </w:r>
      <w:r>
        <w:rPr>
          <w:rFonts w:hint="eastAsia" w:ascii="仿宋_GB2312" w:hAnsi="仿宋_GB2312" w:eastAsia="仿宋_GB2312" w:cs="仿宋_GB2312"/>
          <w:b w:val="0"/>
          <w:bCs w:val="0"/>
          <w:color w:val="000000"/>
          <w:kern w:val="0"/>
          <w:sz w:val="32"/>
          <w:szCs w:val="32"/>
          <w:lang w:val="en-US" w:eastAsia="zh-CN" w:bidi="ar-SA"/>
        </w:rPr>
        <w:t>预算执行进度不均衡。部分项目支出未能按计划支出，原因是部门之间，内部各环节之间缺乏沟通；二是绩效管理意识不强。对绩效评价工作重视程度不够，缺乏主动意识，原因是对绩效理念的宣传和培训不足；</w:t>
      </w:r>
      <w:r>
        <w:rPr>
          <w:rFonts w:ascii="Times New Roman" w:hAnsi="Times New Roman" w:eastAsia="仿宋_GB2312" w:cs="Times New Roman"/>
          <w:sz w:val="32"/>
          <w:szCs w:val="32"/>
        </w:rPr>
        <w:t>下一步改进措施：一是</w:t>
      </w:r>
      <w:r>
        <w:rPr>
          <w:rFonts w:hint="eastAsia" w:ascii="Times New Roman" w:hAnsi="Times New Roman" w:eastAsia="仿宋_GB2312" w:cs="Times New Roman"/>
          <w:sz w:val="32"/>
          <w:szCs w:val="32"/>
          <w:lang w:val="en-US" w:eastAsia="zh-CN"/>
        </w:rPr>
        <w:t>加强各部门之间的沟通，保证预算执行进度均衡</w:t>
      </w:r>
      <w:r>
        <w:rPr>
          <w:rFonts w:ascii="Times New Roman" w:hAnsi="Times New Roman" w:eastAsia="仿宋_GB2312" w:cs="Times New Roman"/>
          <w:sz w:val="32"/>
          <w:szCs w:val="32"/>
        </w:rPr>
        <w:t>；二是</w:t>
      </w:r>
      <w:r>
        <w:rPr>
          <w:rFonts w:hint="eastAsia" w:ascii="Times New Roman" w:hAnsi="Times New Roman" w:eastAsia="仿宋_GB2312" w:cs="Times New Roman"/>
          <w:sz w:val="32"/>
          <w:szCs w:val="32"/>
          <w:lang w:val="en-US" w:eastAsia="zh-CN"/>
        </w:rPr>
        <w:t>加强绩效理念的宣传和培训，强化责任意识。</w:t>
      </w:r>
    </w:p>
    <w:p>
      <w:pPr>
        <w:overflowPunct w:val="0"/>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kern w:val="2"/>
          <w:sz w:val="32"/>
          <w:szCs w:val="32"/>
          <w:lang w:val="en-US" w:eastAsia="zh-CN" w:bidi="ar-SA"/>
        </w:rPr>
        <w:t>本单位为二级预算单位，部门评价结果可详见上级部门决算公开说明。</w:t>
      </w:r>
    </w:p>
    <w:p>
      <w:pPr>
        <w:overflowPunct w:val="0"/>
        <w:spacing w:line="600" w:lineRule="exact"/>
        <w:ind w:firstLine="640" w:firstLineChars="200"/>
        <w:rPr>
          <w:rFonts w:hint="eastAsia" w:ascii="Times New Roman" w:hAnsi="Times New Roman" w:eastAsia="仿宋_GB2312"/>
          <w:color w:val="FF0000"/>
          <w:sz w:val="32"/>
          <w:szCs w:val="32"/>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kern w:val="2"/>
          <w:sz w:val="32"/>
          <w:szCs w:val="32"/>
          <w:lang w:val="en-US" w:eastAsia="zh-CN" w:bidi="ar-SA"/>
        </w:rPr>
        <w:t>本单位为二级预算单位，事前绩效评估结果可详见上级部门决算公开说明。</w:t>
      </w:r>
    </w:p>
    <w:p>
      <w:pPr>
        <w:numPr>
          <w:ilvl w:val="0"/>
          <w:numId w:val="5"/>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numPr>
          <w:ilvl w:val="0"/>
          <w:numId w:val="0"/>
        </w:numPr>
        <w:autoSpaceDE w:val="0"/>
        <w:autoSpaceDN w:val="0"/>
        <w:adjustRightInd w:val="0"/>
        <w:ind w:firstLine="640" w:firstLineChars="200"/>
        <w:jc w:val="lef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请根据2024年度绩效自评结果、部门评价结果、</w:t>
      </w:r>
      <w:r>
        <w:rPr>
          <w:rFonts w:hint="eastAsia" w:ascii="Times New Roman" w:hAnsi="Times New Roman" w:eastAsia="仿宋_GB2312" w:cs="Times New Roman"/>
          <w:color w:val="auto"/>
          <w:sz w:val="32"/>
          <w:szCs w:val="32"/>
          <w:highlight w:val="none"/>
          <w:lang w:eastAsia="zh-CN"/>
        </w:rPr>
        <w:t>事前绩效</w:t>
      </w:r>
      <w:r>
        <w:rPr>
          <w:rFonts w:ascii="Times New Roman" w:hAnsi="Times New Roman" w:eastAsia="仿宋_GB2312" w:cs="Times New Roman"/>
          <w:color w:val="auto"/>
          <w:sz w:val="32"/>
          <w:szCs w:val="32"/>
          <w:highlight w:val="none"/>
        </w:rPr>
        <w:t>评价结果对本部门2025年度预算安排，支出结构调整，资金管理，制度建设等方面结果运用进行简要说明。</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 xml:space="preserve">1. </w:t>
      </w:r>
      <w:r>
        <w:rPr>
          <w:rFonts w:hint="eastAsia" w:ascii="仿宋_GB2312" w:hAnsi="仿宋_GB2312" w:eastAsia="仿宋_GB2312" w:cs="仿宋_GB2312"/>
          <w:b w:val="0"/>
          <w:bCs w:val="0"/>
          <w:sz w:val="32"/>
          <w:szCs w:val="32"/>
          <w:lang w:val="en-US" w:eastAsia="zh-CN"/>
        </w:rPr>
        <w:t>预算安排：参考绩效评价结果，结合整体发展战略和工作重点，将资金调配至对单位核心职能实现具有关键作用的项目上，使预算安排更贴合实际需求。</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 xml:space="preserve">2. </w:t>
      </w:r>
      <w:r>
        <w:rPr>
          <w:rFonts w:hint="eastAsia" w:ascii="仿宋_GB2312" w:hAnsi="仿宋_GB2312" w:eastAsia="仿宋_GB2312" w:cs="仿宋_GB2312"/>
          <w:b w:val="0"/>
          <w:bCs w:val="0"/>
          <w:sz w:val="32"/>
          <w:szCs w:val="32"/>
          <w:lang w:val="en-US" w:eastAsia="zh-CN"/>
        </w:rPr>
        <w:t>支出结构调整：通过对绩效评价结果的深入分析，识别出支出结构中存在的不合理之处。减少对一般性、非刚性支出项目的资金分配。</w:t>
      </w:r>
      <w:r>
        <w:rPr>
          <w:rFonts w:hint="default" w:ascii="仿宋_GB2312" w:hAnsi="仿宋_GB2312" w:eastAsia="仿宋_GB2312" w:cs="仿宋_GB2312"/>
          <w:b w:val="0"/>
          <w:bCs w:val="0"/>
          <w:sz w:val="32"/>
          <w:szCs w:val="32"/>
          <w:lang w:val="en-US" w:eastAsia="zh-CN"/>
        </w:rPr>
        <w:t xml:space="preserve"> </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 xml:space="preserve">3. </w:t>
      </w:r>
      <w:r>
        <w:rPr>
          <w:rFonts w:hint="eastAsia" w:ascii="仿宋_GB2312" w:hAnsi="仿宋_GB2312" w:eastAsia="仿宋_GB2312" w:cs="仿宋_GB2312"/>
          <w:b w:val="0"/>
          <w:bCs w:val="0"/>
          <w:sz w:val="32"/>
          <w:szCs w:val="32"/>
          <w:lang w:val="en-US" w:eastAsia="zh-CN"/>
        </w:rPr>
        <w:t>资金管理：强化资金使用过程中的绩效监控，以</w:t>
      </w:r>
      <w:r>
        <w:rPr>
          <w:rFonts w:hint="default" w:ascii="仿宋_GB2312" w:hAnsi="仿宋_GB2312" w:eastAsia="仿宋_GB2312" w:cs="仿宋_GB2312"/>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年度绩效监控出现的问题为警示，对</w:t>
      </w:r>
      <w:r>
        <w:rPr>
          <w:rFonts w:hint="default" w:ascii="仿宋_GB2312" w:hAnsi="仿宋_GB2312" w:eastAsia="仿宋_GB2312" w:cs="仿宋_GB2312"/>
          <w:b w:val="0"/>
          <w:bCs w:val="0"/>
          <w:sz w:val="32"/>
          <w:szCs w:val="32"/>
          <w:lang w:val="en-US" w:eastAsia="zh-CN"/>
        </w:rPr>
        <w:t>2025</w:t>
      </w:r>
      <w:r>
        <w:rPr>
          <w:rFonts w:hint="eastAsia" w:ascii="仿宋_GB2312" w:hAnsi="仿宋_GB2312" w:eastAsia="仿宋_GB2312" w:cs="仿宋_GB2312"/>
          <w:b w:val="0"/>
          <w:bCs w:val="0"/>
          <w:sz w:val="32"/>
          <w:szCs w:val="32"/>
          <w:lang w:val="en-US" w:eastAsia="zh-CN"/>
        </w:rPr>
        <w:t>年度预算资金的流向和使用进度进行实时跟踪。定期对项目资金使用情况进行自查，一旦发现资金使用偏离绩效目标，立即采取纠正措施。</w:t>
      </w:r>
      <w:r>
        <w:rPr>
          <w:rFonts w:hint="default" w:ascii="仿宋_GB2312" w:hAnsi="仿宋_GB2312" w:eastAsia="仿宋_GB2312" w:cs="仿宋_GB2312"/>
          <w:b w:val="0"/>
          <w:bCs w:val="0"/>
          <w:sz w:val="32"/>
          <w:szCs w:val="32"/>
          <w:lang w:val="en-US" w:eastAsia="zh-CN"/>
        </w:rPr>
        <w:t xml:space="preserve"> </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 xml:space="preserve">4. </w:t>
      </w:r>
      <w:r>
        <w:rPr>
          <w:rFonts w:hint="eastAsia" w:ascii="仿宋_GB2312" w:hAnsi="仿宋_GB2312" w:eastAsia="仿宋_GB2312" w:cs="仿宋_GB2312"/>
          <w:b w:val="0"/>
          <w:bCs w:val="0"/>
          <w:sz w:val="32"/>
          <w:szCs w:val="32"/>
          <w:lang w:val="en-US" w:eastAsia="zh-CN"/>
        </w:rPr>
        <w:t>制度建设：结合</w:t>
      </w:r>
      <w:r>
        <w:rPr>
          <w:rFonts w:hint="default" w:ascii="仿宋_GB2312" w:hAnsi="仿宋_GB2312" w:eastAsia="仿宋_GB2312" w:cs="仿宋_GB2312"/>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年度绩效评价过程中暴露出的制度漏洞和管理短板，修订和完善现有的预算管理制度。明确预算编制、执行、调整、监督等各个环节的操作流程和责任主体，使制度更具可操作性和规范性。</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2"/>
        <w:rPr>
          <w:rFonts w:hint="default"/>
          <w:lang w:val="en-US" w:eastAsia="zh-CN"/>
        </w:rPr>
      </w:pPr>
    </w:p>
    <w:p>
      <w:pPr>
        <w:pStyle w:val="2"/>
        <w:rPr>
          <w:rFonts w:hint="default"/>
          <w:lang w:val="en-US" w:eastAsia="zh-CN"/>
        </w:rPr>
      </w:pPr>
    </w:p>
    <w:p>
      <w:pPr>
        <w:pStyle w:val="11"/>
        <w:rPr>
          <w:rFonts w:hint="eastAsia"/>
          <w:lang w:val="en-US" w:eastAsia="zh-CN"/>
        </w:rPr>
      </w:pP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6"/>
        <w:jc w:val="both"/>
        <w:rPr>
          <w:rFonts w:hint="eastAsia" w:ascii="方正小标宋_GBK" w:hAnsi="方正小标宋_GBK" w:eastAsia="方正小标宋_GBK" w:cs="方正小标宋_GBK"/>
          <w:sz w:val="24"/>
          <w:szCs w:val="24"/>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6"/>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11"/>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r>
        <w:rPr>
          <w:rFonts w:ascii="仿宋_GB2312" w:hAnsi="仿宋_GB2312" w:eastAsia="仿宋_GB2312" w:cs="仿宋_GB2312"/>
          <w:color w:val="000000"/>
          <w:kern w:val="0"/>
          <w:sz w:val="32"/>
          <w:szCs w:val="32"/>
        </w:rPr>
        <w:t>基本支出，指保障机构正常运转、完成日常工作任务而发生的人员支出和公用支出。</w:t>
      </w:r>
    </w:p>
    <w:p>
      <w:pPr>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ind w:firstLine="640" w:firstLineChars="200"/>
        <w:jc w:val="left"/>
        <w:rPr>
          <w:rFonts w:hint="eastAsia" w:ascii="仿宋_GB2312" w:hAnsi="仿宋_GB2312" w:eastAsia="仿宋_GB2312" w:cs="仿宋_GB2312"/>
          <w:color w:val="000000"/>
          <w:kern w:val="0"/>
          <w:sz w:val="32"/>
          <w:szCs w:val="32"/>
          <w:lang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pStyle w:val="16"/>
        <w:jc w:val="center"/>
        <w:rPr>
          <w:rFonts w:hint="eastAsia" w:ascii="仿宋_GB2312" w:hAnsi="仿宋_GB2312" w:eastAsia="仿宋_GB2312" w:cs="仿宋_GB2312"/>
          <w:sz w:val="32"/>
          <w:szCs w:val="32"/>
        </w:rPr>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Pr>
        <w:pStyle w:val="11"/>
      </w:pPr>
    </w:p>
    <w:p>
      <w:pPr>
        <w:pStyle w:val="7"/>
      </w:pPr>
    </w:p>
    <w:p/>
    <w:p/>
    <w:p>
      <w:pPr>
        <w:pStyle w:val="11"/>
      </w:pPr>
    </w:p>
    <w:p>
      <w:pPr>
        <w:pStyle w:val="16"/>
        <w:jc w:val="both"/>
        <w:rPr>
          <w:rFonts w:hint="eastAsia" w:ascii="方正小标宋_GBK" w:hAnsi="方正小标宋_GBK" w:eastAsia="方正小标宋_GBK" w:cs="方正小标宋_GBK"/>
          <w:sz w:val="72"/>
          <w:szCs w:val="72"/>
        </w:rPr>
      </w:pPr>
    </w:p>
    <w:p>
      <w:pPr>
        <w:pStyle w:val="16"/>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6"/>
        <w:jc w:val="both"/>
        <w:rPr>
          <w:rFonts w:hint="eastAsia" w:ascii="方正小标宋_GBK" w:hAnsi="方正小标宋_GBK" w:eastAsia="方正小标宋_GBK" w:cs="方正小标宋_GBK"/>
          <w:sz w:val="70"/>
          <w:szCs w:val="70"/>
          <w:lang w:eastAsia="zh-CN"/>
        </w:rPr>
      </w:pPr>
    </w:p>
    <w:p>
      <w:pPr>
        <w:pStyle w:val="16"/>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keepNext w:val="0"/>
        <w:keepLines w:val="0"/>
        <w:pageBreakBefore w:val="0"/>
        <w:widowControl w:val="0"/>
        <w:kinsoku/>
        <w:wordWrap/>
        <w:overflowPunct/>
        <w:topLinePunct w:val="0"/>
        <w:autoSpaceDE/>
        <w:autoSpaceDN/>
        <w:bidi w:val="0"/>
        <w:adjustRightInd/>
        <w:snapToGrid/>
        <w:spacing w:afterLines="0" w:line="36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4</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2"/>
        <w:tblW w:w="9673" w:type="dxa"/>
        <w:jc w:val="center"/>
        <w:tblLayout w:type="fixed"/>
        <w:tblCellMar>
          <w:top w:w="0" w:type="dxa"/>
          <w:left w:w="108" w:type="dxa"/>
          <w:bottom w:w="0" w:type="dxa"/>
          <w:right w:w="108" w:type="dxa"/>
        </w:tblCellMar>
      </w:tblPr>
      <w:tblGrid>
        <w:gridCol w:w="3354"/>
        <w:gridCol w:w="1189"/>
        <w:gridCol w:w="849"/>
        <w:gridCol w:w="1129"/>
        <w:gridCol w:w="1060"/>
        <w:gridCol w:w="1132"/>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189"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年实际在职人数</w:t>
            </w:r>
          </w:p>
        </w:tc>
        <w:tc>
          <w:tcPr>
            <w:tcW w:w="209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23</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w:t>
            </w: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86.96%</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年预算数</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4</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591.23</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1411.81</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530.78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建设档案事务管理经费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89.863</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120.89</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120.89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城市管网及污水处理补助</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440.083</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1290.92</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409.89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28.45</w:t>
            </w:r>
            <w:r>
              <w:rPr>
                <w:rFonts w:hint="eastAsia" w:ascii="仿宋_GB2312" w:hAnsi="仿宋_GB2312" w:eastAsia="仿宋_GB2312" w:cs="仿宋_GB2312"/>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27.22</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23.98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auto"/>
                <w:sz w:val="20"/>
                <w:szCs w:val="20"/>
                <w:highlight w:val="none"/>
                <w:lang w:val="en-US" w:eastAsia="zh-CN"/>
              </w:rPr>
              <w:t>26.45</w:t>
            </w:r>
            <w:r>
              <w:rPr>
                <w:rFonts w:hint="eastAsia" w:ascii="仿宋_GB2312" w:hAnsi="仿宋_GB2312" w:eastAsia="仿宋_GB2312" w:cs="仿宋_GB2312"/>
                <w:color w:val="FF0000"/>
                <w:sz w:val="20"/>
                <w:szCs w:val="20"/>
                <w:highlight w:val="none"/>
              </w:rPr>
              <w:t>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24.22</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21.92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2.06</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607.97</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1272.31</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470.60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340.25</w:t>
            </w:r>
          </w:p>
        </w:tc>
        <w:tc>
          <w:tcPr>
            <w:tcW w:w="2189"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color w:val="auto"/>
                <w:sz w:val="20"/>
                <w:szCs w:val="20"/>
                <w:highlight w:val="none"/>
                <w:shd w:val="clear" w:color="auto" w:fill="auto"/>
                <w:lang w:val="en-US" w:eastAsia="zh-CN"/>
              </w:rPr>
            </w:pPr>
            <w:r>
              <w:rPr>
                <w:rFonts w:hint="eastAsia" w:ascii="仿宋_GB2312" w:hAnsi="仿宋_GB2312" w:eastAsia="仿宋_GB2312" w:cs="仿宋_GB2312"/>
                <w:color w:val="auto"/>
                <w:sz w:val="20"/>
                <w:szCs w:val="20"/>
                <w:highlight w:val="none"/>
                <w:shd w:val="clear" w:color="auto" w:fill="auto"/>
                <w:lang w:val="en-US" w:eastAsia="zh-CN"/>
              </w:rPr>
              <w:t>341.86</w:t>
            </w:r>
          </w:p>
        </w:tc>
        <w:tc>
          <w:tcPr>
            <w:tcW w:w="2092"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default" w:ascii="仿宋_GB2312" w:hAnsi="仿宋_GB2312" w:eastAsia="仿宋_GB2312" w:cs="仿宋_GB2312"/>
                <w:color w:val="auto"/>
                <w:sz w:val="20"/>
                <w:szCs w:val="20"/>
                <w:highlight w:val="none"/>
                <w:shd w:val="clear" w:color="auto" w:fill="auto"/>
                <w:lang w:val="en-US" w:eastAsia="zh-CN"/>
              </w:rPr>
            </w:pPr>
            <w:r>
              <w:rPr>
                <w:rFonts w:hint="eastAsia" w:ascii="仿宋_GB2312" w:hAnsi="仿宋_GB2312" w:eastAsia="仿宋_GB2312" w:cs="仿宋_GB2312"/>
                <w:color w:val="auto"/>
                <w:sz w:val="20"/>
                <w:szCs w:val="20"/>
                <w:highlight w:val="none"/>
                <w:shd w:val="clear" w:color="auto" w:fill="auto"/>
                <w:lang w:val="en-US" w:eastAsia="zh-CN"/>
              </w:rPr>
              <w:t>328.59</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06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6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3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仿宋_GB2312" w:hAnsi="仿宋_GB2312" w:eastAsia="仿宋_GB2312" w:cs="仿宋_GB2312"/>
                <w:sz w:val="20"/>
                <w:szCs w:val="20"/>
              </w:rPr>
            </w:pPr>
            <w:bookmarkStart w:id="0" w:name="OLE_LINK9"/>
            <w:r>
              <w:rPr>
                <w:rFonts w:hint="eastAsia" w:ascii="仿宋_GB2312" w:hAnsi="仿宋_GB2312" w:eastAsia="仿宋_GB2312" w:cs="仿宋_GB2312"/>
                <w:sz w:val="20"/>
                <w:szCs w:val="20"/>
                <w:lang w:val="en-US" w:eastAsia="zh-CN"/>
              </w:rPr>
              <w:t>1、完善制度建设</w:t>
            </w:r>
            <w:r>
              <w:rPr>
                <w:rFonts w:hint="eastAsia" w:ascii="仿宋_GB2312" w:hAnsi="仿宋_GB2312" w:eastAsia="仿宋_GB2312" w:cs="仿宋_GB2312"/>
                <w:sz w:val="20"/>
                <w:szCs w:val="20"/>
              </w:rPr>
              <w:t>，抓制度落实，控制费用增长。</w:t>
            </w:r>
          </w:p>
          <w:p>
            <w:pPr>
              <w:keepNext w:val="0"/>
              <w:keepLines w:val="0"/>
              <w:widowControl/>
              <w:suppressLineNumbers w:val="0"/>
              <w:spacing w:before="0" w:beforeAutospacing="0" w:after="0" w:afterAutospacing="0" w:line="300" w:lineRule="exact"/>
              <w:ind w:left="0" w:right="0"/>
              <w:jc w:val="left"/>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2、严格</w:t>
            </w:r>
            <w:r>
              <w:rPr>
                <w:rFonts w:hint="eastAsia" w:ascii="仿宋_GB2312" w:hAnsi="仿宋_GB2312" w:eastAsia="仿宋_GB2312" w:cs="仿宋_GB2312"/>
                <w:sz w:val="20"/>
                <w:szCs w:val="20"/>
              </w:rPr>
              <w:t>控制三公经费、</w:t>
            </w:r>
            <w:r>
              <w:rPr>
                <w:rFonts w:hint="eastAsia" w:ascii="仿宋_GB2312" w:hAnsi="仿宋_GB2312" w:eastAsia="仿宋_GB2312" w:cs="仿宋_GB2312"/>
                <w:sz w:val="18"/>
                <w:szCs w:val="18"/>
              </w:rPr>
              <w:t>会议费、</w:t>
            </w:r>
            <w:r>
              <w:rPr>
                <w:rFonts w:hint="eastAsia" w:ascii="仿宋_GB2312" w:hAnsi="仿宋_GB2312" w:eastAsia="仿宋_GB2312" w:cs="仿宋_GB2312"/>
                <w:sz w:val="18"/>
                <w:szCs w:val="18"/>
                <w:lang w:val="en-US" w:eastAsia="zh-CN"/>
              </w:rPr>
              <w:t>培训费、委托业务费</w:t>
            </w:r>
            <w:r>
              <w:rPr>
                <w:rFonts w:hint="eastAsia" w:ascii="仿宋_GB2312" w:hAnsi="仿宋_GB2312" w:eastAsia="仿宋_GB2312" w:cs="仿宋_GB2312"/>
                <w:sz w:val="20"/>
                <w:szCs w:val="20"/>
              </w:rPr>
              <w:t>等</w:t>
            </w:r>
            <w:r>
              <w:rPr>
                <w:rFonts w:hint="eastAsia" w:ascii="仿宋_GB2312" w:hAnsi="仿宋_GB2312" w:eastAsia="仿宋_GB2312" w:cs="仿宋_GB2312"/>
                <w:sz w:val="20"/>
                <w:szCs w:val="20"/>
                <w:lang w:val="en-US" w:eastAsia="zh-CN"/>
              </w:rPr>
              <w:t>科目支出</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压减日常经费开支，落实财政过紧日子的要求。</w:t>
            </w:r>
          </w:p>
          <w:p>
            <w:pPr>
              <w:keepNext w:val="0"/>
              <w:keepLines w:val="0"/>
              <w:widowControl/>
              <w:suppressLineNumbers w:val="0"/>
              <w:spacing w:before="0" w:beforeAutospacing="0" w:after="0" w:afterAutospacing="0" w:line="360" w:lineRule="exact"/>
              <w:ind w:left="0" w:right="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rPr>
              <w:t>3、加强预算管理及财务收支管理。严格遵照“先有预算后有支出”预算管理要求，控制经费预算，对超预算资金严格管控；加强财务收支管理，对支出每笔费用认真审核，对不合规费用拒绝支付，把控资金支付合规性、合法性、准确性。</w:t>
            </w:r>
            <w:bookmarkEnd w:id="0"/>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2"/>
        <w:tblW w:w="10079" w:type="dxa"/>
        <w:jc w:val="center"/>
        <w:tblLayout w:type="fixed"/>
        <w:tblCellMar>
          <w:top w:w="0" w:type="dxa"/>
          <w:left w:w="108" w:type="dxa"/>
          <w:bottom w:w="0" w:type="dxa"/>
          <w:right w:w="108" w:type="dxa"/>
        </w:tblCellMar>
      </w:tblPr>
      <w:tblGrid>
        <w:gridCol w:w="1081"/>
        <w:gridCol w:w="1079"/>
        <w:gridCol w:w="1034"/>
        <w:gridCol w:w="1457"/>
        <w:gridCol w:w="1395"/>
        <w:gridCol w:w="1290"/>
        <w:gridCol w:w="645"/>
        <w:gridCol w:w="869"/>
        <w:gridCol w:w="1229"/>
      </w:tblGrid>
      <w:tr>
        <w:tblPrEx>
          <w:tblCellMar>
            <w:top w:w="0" w:type="dxa"/>
            <w:left w:w="108" w:type="dxa"/>
            <w:bottom w:w="0" w:type="dxa"/>
            <w:right w:w="108" w:type="dxa"/>
          </w:tblCellMar>
        </w:tblPrEx>
        <w:trPr>
          <w:jc w:val="center"/>
        </w:trPr>
        <w:tc>
          <w:tcPr>
            <w:tcW w:w="10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8" w:type="dxa"/>
            <w:gridSpan w:val="8"/>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岳阳市城市建设档案馆</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3" w:type="dxa"/>
            <w:gridSpan w:val="2"/>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p>
        </w:tc>
        <w:tc>
          <w:tcPr>
            <w:tcW w:w="1457"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9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90"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64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9"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229"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2113" w:type="dxa"/>
            <w:gridSpan w:val="2"/>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57"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397.26</w:t>
            </w:r>
          </w:p>
        </w:tc>
        <w:tc>
          <w:tcPr>
            <w:tcW w:w="139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1853.67</w:t>
            </w:r>
          </w:p>
        </w:tc>
        <w:tc>
          <w:tcPr>
            <w:tcW w:w="1290"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859.37</w:t>
            </w:r>
          </w:p>
        </w:tc>
        <w:tc>
          <w:tcPr>
            <w:tcW w:w="64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69"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46.36.00%</w:t>
            </w:r>
          </w:p>
        </w:tc>
        <w:tc>
          <w:tcPr>
            <w:tcW w:w="1229"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4.64</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033"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 xml:space="preserve">   1753.67</w:t>
            </w:r>
          </w:p>
        </w:tc>
        <w:tc>
          <w:tcPr>
            <w:tcW w:w="4033"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 xml:space="preserve">  328.59</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033"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 xml:space="preserve">  530.78</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033"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left w:val="single" w:color="auto" w:sz="4" w:space="0"/>
              <w:bottom w:val="single" w:color="000000"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 xml:space="preserve">   100   </w:t>
            </w:r>
          </w:p>
        </w:tc>
        <w:tc>
          <w:tcPr>
            <w:tcW w:w="4033" w:type="dxa"/>
            <w:gridSpan w:val="4"/>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bottom w:val="single" w:color="000000"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965" w:type="dxa"/>
            <w:gridSpan w:val="4"/>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033"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4965" w:type="dxa"/>
            <w:gridSpan w:val="4"/>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lang w:val="en-US" w:eastAsia="zh-CN"/>
              </w:rPr>
            </w:pPr>
            <w:bookmarkStart w:id="1" w:name="OLE_LINK2"/>
            <w:r>
              <w:rPr>
                <w:rFonts w:hint="eastAsia" w:ascii="仿宋_GB2312" w:hAnsi="仿宋_GB2312" w:eastAsia="仿宋_GB2312" w:cs="仿宋_GB2312"/>
                <w:color w:val="000000"/>
                <w:sz w:val="20"/>
                <w:szCs w:val="20"/>
                <w:highlight w:val="none"/>
                <w:lang w:val="en-US" w:eastAsia="zh-CN"/>
              </w:rPr>
              <w:t>1、我馆将以档案馆基础业务为工作主线，结合电子文件与电子档案管理、数字档案馆建设等相关规范、标准，继续夯实档案验收（含地下管线资料）、档案保管（含地下管线资料）、档案利用（含地下管线资料）三大基础。</w:t>
            </w: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2、持续精细化管理，以提升服务效能为核心，落实我市城建档案事业高质量发展部署，明确发展策略和措施，进一步提升我馆规范化建设水平。</w:t>
            </w:r>
          </w:p>
          <w:p>
            <w:pPr>
              <w:keepNext w:val="0"/>
              <w:keepLines w:val="0"/>
              <w:widowControl/>
              <w:suppressLineNumbers w:val="0"/>
              <w:spacing w:before="0" w:beforeAutospacing="0" w:after="0" w:afterAutospacing="0" w:line="240" w:lineRule="exact"/>
              <w:ind w:left="0" w:right="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3、保证住房和城乡建设局信息系统的正常运转。</w:t>
            </w:r>
            <w:bookmarkEnd w:id="1"/>
          </w:p>
        </w:tc>
        <w:tc>
          <w:tcPr>
            <w:tcW w:w="4033"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我馆以档案馆基础业务为工作主线，结合电子文件与电子档案管理、数字档案馆建设等相关规范、标准，继续夯实档案验收（含地下管线资料）、档案保管（含地下管线资料）、档案利用（含地下管线资料）三大基础：完成档案验收项目87个；完成城建档案收集入库2.3万卷；档案查询利用3.87万卷，其中文字资料1.22万卷，图纸2.65万幅，查询利用958人次；档案查询利用服务满意率98%以上。</w:t>
            </w: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2、持续精细化管理，以提升服务效能为核心，全面落实我市城建档案事业高质量发展部署，明确发展策略和措施，进一步提升了我馆规范化建设水平。</w:t>
            </w:r>
          </w:p>
          <w:p>
            <w:pPr>
              <w:keepNext w:val="0"/>
              <w:keepLines w:val="0"/>
              <w:widowControl/>
              <w:suppressLineNumbers w:val="0"/>
              <w:spacing w:before="0" w:beforeAutospacing="0" w:after="0" w:afterAutospacing="0" w:line="240" w:lineRule="exact"/>
              <w:ind w:left="0" w:right="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3、住房和城乡建设局信息系统全年正常运转。</w:t>
            </w:r>
          </w:p>
        </w:tc>
      </w:tr>
      <w:tr>
        <w:tblPrEx>
          <w:tblCellMar>
            <w:top w:w="0" w:type="dxa"/>
            <w:left w:w="108" w:type="dxa"/>
            <w:bottom w:w="0" w:type="dxa"/>
            <w:right w:w="108" w:type="dxa"/>
          </w:tblCellMar>
        </w:tblPrEx>
        <w:trPr>
          <w:jc w:val="center"/>
        </w:trPr>
        <w:tc>
          <w:tcPr>
            <w:tcW w:w="108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城建档案收集、入库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3万卷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2.3万卷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200" w:firstLineChars="10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4.6</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bookmarkStart w:id="2" w:name="OLE_LINK8"/>
            <w:r>
              <w:rPr>
                <w:rFonts w:hint="eastAsia" w:ascii="仿宋_GB2312" w:hAnsi="仿宋_GB2312" w:eastAsia="仿宋_GB2312" w:cs="仿宋_GB2312"/>
                <w:color w:val="000000"/>
                <w:sz w:val="20"/>
                <w:szCs w:val="20"/>
                <w:highlight w:val="none"/>
                <w:lang w:val="en-US" w:eastAsia="zh-CN"/>
              </w:rPr>
              <w:t>档案验收项目减少且小项目多。</w:t>
            </w:r>
            <w:bookmarkEnd w:id="2"/>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档案验收项目个数</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80个</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87个</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200" w:firstLineChars="10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库房管理</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达到“九防”管理要求</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达到“九防”管理要求</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3个系统正常运行</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bookmarkStart w:id="3" w:name="OLE_LINK1"/>
            <w:r>
              <w:rPr>
                <w:rFonts w:hint="eastAsia" w:ascii="仿宋_GB2312" w:hAnsi="仿宋_GB2312" w:eastAsia="仿宋_GB2312" w:cs="仿宋_GB2312"/>
                <w:color w:val="000000"/>
                <w:sz w:val="20"/>
                <w:szCs w:val="20"/>
                <w:highlight w:val="none"/>
                <w:lang w:val="en-US" w:eastAsia="zh-CN"/>
              </w:rPr>
              <w:t>2024年12月31日前</w:t>
            </w:r>
            <w:bookmarkEnd w:id="3"/>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2024年12月31日前</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20" w:hRule="atLeast"/>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57" w:type="dxa"/>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人员经费和</w:t>
            </w:r>
          </w:p>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公用经费</w:t>
            </w:r>
          </w:p>
        </w:tc>
        <w:tc>
          <w:tcPr>
            <w:tcW w:w="1395" w:type="dxa"/>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341.86万元</w:t>
            </w:r>
          </w:p>
        </w:tc>
        <w:tc>
          <w:tcPr>
            <w:tcW w:w="1290" w:type="dxa"/>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328.59万元</w:t>
            </w:r>
          </w:p>
        </w:tc>
        <w:tc>
          <w:tcPr>
            <w:tcW w:w="645" w:type="dxa"/>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69" w:type="dxa"/>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7.69</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人员经费财政局下多了指标。</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项目经费</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1411.81万元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530.78万元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firstLine="200" w:firstLineChars="10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2.63</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偏差原因：完成验收但财评结论未出，无法支付剩余款项。</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档案查询利用次数</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900人次</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958人次</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90" w:hRule="atLeast"/>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推进岳阳市全过程数字城建档案信息管理平台的建设，积极探索城建档案联合验收工作新模式</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实现档案工作由“被动指导型”到“主动服务型”的转变</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推行服务前移，优化档案验收服务，实现档案工作由“被动指导型”到“主动服务型”的转变。</w:t>
            </w:r>
          </w:p>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30" w:hRule="atLeast"/>
          <w:jc w:val="center"/>
        </w:trPr>
        <w:tc>
          <w:tcPr>
            <w:tcW w:w="1081"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5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档案查询利用服务对象满意率</w:t>
            </w:r>
          </w:p>
        </w:tc>
        <w:tc>
          <w:tcPr>
            <w:tcW w:w="139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bookmarkStart w:id="4" w:name="OLE_LINK3"/>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95%</w:t>
            </w:r>
            <w:bookmarkEnd w:id="4"/>
          </w:p>
        </w:tc>
        <w:tc>
          <w:tcPr>
            <w:tcW w:w="12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98%</w:t>
            </w:r>
          </w:p>
        </w:tc>
        <w:tc>
          <w:tcPr>
            <w:tcW w:w="64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30" w:hRule="atLeast"/>
          <w:jc w:val="center"/>
        </w:trPr>
        <w:tc>
          <w:tcPr>
            <w:tcW w:w="1081"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p>
        </w:tc>
        <w:tc>
          <w:tcPr>
            <w:tcW w:w="1079"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档案验收服务对象满意率</w:t>
            </w:r>
          </w:p>
        </w:tc>
        <w:tc>
          <w:tcPr>
            <w:tcW w:w="139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95%</w:t>
            </w:r>
          </w:p>
        </w:tc>
        <w:tc>
          <w:tcPr>
            <w:tcW w:w="12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98%</w:t>
            </w:r>
          </w:p>
        </w:tc>
        <w:tc>
          <w:tcPr>
            <w:tcW w:w="64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70" w:hRule="atLeast"/>
          <w:jc w:val="center"/>
        </w:trPr>
        <w:tc>
          <w:tcPr>
            <w:tcW w:w="7336"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45"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88.56</w:t>
            </w:r>
          </w:p>
        </w:tc>
        <w:tc>
          <w:tcPr>
            <w:tcW w:w="1229"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2"/>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建设档案事务管理经费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120.89</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120.89</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95</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25.89</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25.89</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bookmarkStart w:id="5" w:name="OLE_LINK6"/>
            <w:r>
              <w:rPr>
                <w:rFonts w:hint="eastAsia" w:ascii="仿宋_GB2312" w:hAnsi="仿宋_GB2312" w:eastAsia="仿宋_GB2312" w:cs="仿宋_GB2312"/>
                <w:color w:val="000000"/>
                <w:sz w:val="20"/>
                <w:szCs w:val="20"/>
                <w:highlight w:val="none"/>
              </w:rPr>
              <w:t>1、完成城建档案库房38万卷档案防霉菌、防火、防潮、防水、防日光及紫外线照射，防尘、防污染、防有害生物和安全防范等（九防）安全防范，档案库房设施、设备（温湿、消防、温控）维修维护，城建档案查询利用等工作；2、根据《岳阳市人民政府办公室关于印发&lt;岳阳市城市地下管线普查工作实施方案&gt;的通知》要求，我市应建立地下管线信息系统维护、管理与服务的长效机制，实现地下管线数据的动态更新、维护、发挥地下管线信息系统的综合服务作用，实现地下管线信息系统的规范化、信息化、动态化和科学化管理</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因此需进行系统和数据的维护工作。3、保证数字城建档案平台正常运行；4、保证住房和城乡建设局网站及公众号正常运营及宽带升级。</w:t>
            </w:r>
            <w:bookmarkEnd w:id="5"/>
          </w:p>
        </w:tc>
        <w:tc>
          <w:tcPr>
            <w:tcW w:w="4253" w:type="dxa"/>
            <w:gridSpan w:val="4"/>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1、城建档案库房38万卷档案</w:t>
            </w:r>
            <w:r>
              <w:rPr>
                <w:rFonts w:hint="eastAsia" w:ascii="仿宋_GB2312" w:hAnsi="仿宋_GB2312" w:eastAsia="仿宋_GB2312" w:cs="仿宋_GB2312"/>
                <w:color w:val="000000"/>
                <w:sz w:val="20"/>
                <w:szCs w:val="20"/>
                <w:highlight w:val="none"/>
                <w:lang w:val="en-US" w:eastAsia="zh-CN"/>
              </w:rPr>
              <w:t>达到</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九防</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管理要求，档案保存完好</w:t>
            </w:r>
            <w:r>
              <w:rPr>
                <w:rFonts w:hint="eastAsia" w:ascii="仿宋_GB2312" w:hAnsi="仿宋_GB2312" w:eastAsia="仿宋_GB2312" w:cs="仿宋_GB2312"/>
                <w:color w:val="000000"/>
                <w:sz w:val="20"/>
                <w:szCs w:val="20"/>
                <w:highlight w:val="none"/>
              </w:rPr>
              <w:t>；2、</w:t>
            </w:r>
            <w:r>
              <w:rPr>
                <w:rFonts w:hint="eastAsia" w:ascii="仿宋_GB2312" w:hAnsi="仿宋_GB2312" w:eastAsia="仿宋_GB2312" w:cs="仿宋_GB2312"/>
                <w:color w:val="000000"/>
                <w:sz w:val="20"/>
                <w:szCs w:val="20"/>
                <w:highlight w:val="none"/>
                <w:lang w:val="en-US" w:eastAsia="zh-CN"/>
              </w:rPr>
              <w:t>进行地下管线信息系统维护工作，全年系统正常运行</w:t>
            </w:r>
            <w:r>
              <w:rPr>
                <w:rFonts w:hint="eastAsia" w:ascii="仿宋_GB2312" w:hAnsi="仿宋_GB2312" w:eastAsia="仿宋_GB2312" w:cs="仿宋_GB2312"/>
                <w:color w:val="000000"/>
                <w:sz w:val="20"/>
                <w:szCs w:val="20"/>
                <w:highlight w:val="none"/>
              </w:rPr>
              <w:t>；3、</w:t>
            </w:r>
            <w:r>
              <w:rPr>
                <w:rFonts w:hint="eastAsia" w:ascii="仿宋_GB2312" w:hAnsi="仿宋_GB2312" w:eastAsia="仿宋_GB2312" w:cs="仿宋_GB2312"/>
                <w:color w:val="000000"/>
                <w:sz w:val="20"/>
                <w:szCs w:val="20"/>
                <w:highlight w:val="none"/>
                <w:lang w:val="en-US" w:eastAsia="zh-CN"/>
              </w:rPr>
              <w:t>全年</w:t>
            </w:r>
            <w:r>
              <w:rPr>
                <w:rFonts w:hint="eastAsia" w:ascii="仿宋_GB2312" w:hAnsi="仿宋_GB2312" w:eastAsia="仿宋_GB2312" w:cs="仿宋_GB2312"/>
                <w:color w:val="000000"/>
                <w:sz w:val="20"/>
                <w:szCs w:val="20"/>
                <w:highlight w:val="none"/>
              </w:rPr>
              <w:t>数字城建档案平台正常运行；4、</w:t>
            </w:r>
            <w:r>
              <w:rPr>
                <w:rFonts w:hint="eastAsia" w:ascii="仿宋_GB2312" w:hAnsi="仿宋_GB2312" w:eastAsia="仿宋_GB2312" w:cs="仿宋_GB2312"/>
                <w:color w:val="000000"/>
                <w:sz w:val="20"/>
                <w:szCs w:val="20"/>
                <w:highlight w:val="none"/>
                <w:lang w:val="en-US" w:eastAsia="zh-CN"/>
              </w:rPr>
              <w:t>全年</w:t>
            </w:r>
            <w:r>
              <w:rPr>
                <w:rFonts w:hint="eastAsia" w:ascii="仿宋_GB2312" w:hAnsi="仿宋_GB2312" w:eastAsia="仿宋_GB2312" w:cs="仿宋_GB2312"/>
                <w:color w:val="000000"/>
                <w:sz w:val="20"/>
                <w:szCs w:val="20"/>
                <w:highlight w:val="none"/>
              </w:rPr>
              <w:t>住房和城乡建设局网站及公众号正常</w:t>
            </w:r>
            <w:r>
              <w:rPr>
                <w:rFonts w:hint="eastAsia" w:ascii="仿宋_GB2312" w:hAnsi="仿宋_GB2312" w:eastAsia="仿宋_GB2312" w:cs="仿宋_GB2312"/>
                <w:color w:val="000000"/>
                <w:sz w:val="20"/>
                <w:szCs w:val="20"/>
                <w:highlight w:val="none"/>
                <w:lang w:val="en-US" w:eastAsia="zh-CN"/>
              </w:rPr>
              <w:t>运行</w:t>
            </w:r>
            <w:r>
              <w:rPr>
                <w:rFonts w:hint="eastAsia" w:ascii="仿宋_GB2312" w:hAnsi="仿宋_GB2312" w:eastAsia="仿宋_GB2312" w:cs="仿宋_GB2312"/>
                <w:color w:val="000000"/>
                <w:sz w:val="20"/>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档案案卷增加数量</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3万卷</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2.3万卷</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3.83</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档案验收项目减少且小项目多。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城建档案查询利用人次</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400" w:firstLineChars="20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900人次</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958人次</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增加“九防”设备数量</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38个或台</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0.05</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落实财政过紧日子的要求。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库房管理</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达到“九防”管理要求</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达到“九防”管理要求，档案保存完好</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3个平台正常运行</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bookmarkStart w:id="6" w:name="OLE_LINK4"/>
            <w:r>
              <w:rPr>
                <w:rFonts w:hint="eastAsia" w:ascii="仿宋_GB2312" w:hAnsi="仿宋_GB2312" w:eastAsia="仿宋_GB2312" w:cs="仿宋_GB2312"/>
                <w:color w:val="000000"/>
                <w:sz w:val="20"/>
                <w:szCs w:val="20"/>
                <w:highlight w:val="none"/>
                <w:lang w:val="en-US" w:eastAsia="zh-CN"/>
              </w:rPr>
              <w:t>2024年12月31日前</w:t>
            </w:r>
            <w:bookmarkEnd w:id="6"/>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2024年12月31日前</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在预算内</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120.89万元</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120.89万元</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开发城建档案信息资源，加快房屋建筑工程和市政基础设施工程联合验收进程，为社会各界提供档案查询利用，服务群众</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档案九防防治年限</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各系统平台正常运行</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200" w:firstLineChars="10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200" w:firstLineChars="10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bookmarkStart w:id="7" w:name="OLE_LINK7"/>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98%</w:t>
            </w:r>
            <w:bookmarkEnd w:id="7"/>
          </w:p>
        </w:tc>
        <w:tc>
          <w:tcPr>
            <w:tcW w:w="113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98%</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96.88</w:t>
            </w:r>
          </w:p>
        </w:tc>
        <w:tc>
          <w:tcPr>
            <w:tcW w:w="141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2"/>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80"/>
        <w:gridCol w:w="1080"/>
        <w:gridCol w:w="1224"/>
        <w:gridCol w:w="1134"/>
        <w:gridCol w:w="1134"/>
        <w:gridCol w:w="638"/>
        <w:gridCol w:w="863"/>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城市管网及污水处理补助</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638"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3"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618" w:type="dxa"/>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1290.92</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409.89</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31.75%</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1290.92</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岳阳市中心城区排水管线补测并更新数据库3290km，3290km包括已普查管线长度2265公里信息导入，未普查管线长度1025公里数据采集，另外在未开展CCTV检测区域抽检20%管线共312公里进行排水管线清淤处理和CCTV管道检测。　　</w:t>
            </w:r>
          </w:p>
        </w:tc>
        <w:tc>
          <w:tcPr>
            <w:tcW w:w="4253"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截至2024年12月31日完成外业数据采集新测1016.52公里、修补测2088.3公里、排水管道清淤、CCTV检测513.052公里。累计完成工程量产值18408919.4万元，完成总进度100%。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数据采集新测</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1025km</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1016.52km</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9.92</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bookmarkStart w:id="8" w:name="OLE_LINK5"/>
            <w:r>
              <w:rPr>
                <w:rFonts w:hint="eastAsia" w:ascii="仿宋_GB2312" w:hAnsi="仿宋_GB2312" w:eastAsia="仿宋_GB2312" w:cs="仿宋_GB2312"/>
                <w:color w:val="000000"/>
                <w:sz w:val="20"/>
                <w:szCs w:val="20"/>
                <w:highlight w:val="none"/>
                <w:lang w:val="en-US" w:eastAsia="zh-CN"/>
              </w:rPr>
              <w:t>实际勘测工作存在一定误差值</w:t>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管线修补测</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2265km</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2088.3km</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7.38</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实际勘测工作存在一定误差值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排水管网清淤、CCTV检测</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624km</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513.052km</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5.76</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实际勘测工作存在一定误差值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测量数据入库完成率</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2024年12月31日前</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2024年12月31日前</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预算控制数</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1290.92万元</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409.89万元</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1.59</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完成验收但财评结论未出，无法支付剩余款项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both"/>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为城市建设提供管线数据查询利用、服务群众</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为城市建设提供管线数据查询利用、服务群众</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雨污分流</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en-US"/>
              </w:rPr>
            </w:pPr>
            <w:r>
              <w:rPr>
                <w:rFonts w:hint="eastAsia" w:ascii="仿宋_GB2312" w:hAnsi="仿宋_GB2312" w:eastAsia="仿宋_GB2312" w:cs="仿宋_GB2312"/>
                <w:color w:val="000000"/>
                <w:sz w:val="20"/>
                <w:szCs w:val="20"/>
                <w:highlight w:val="none"/>
                <w:lang w:val="en-US" w:eastAsia="zh-CN"/>
              </w:rPr>
              <w:t>提供查询   和利用</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服务满意度</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98%</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3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87.83</w:t>
            </w:r>
          </w:p>
        </w:tc>
        <w:tc>
          <w:tcPr>
            <w:tcW w:w="16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0" w:lineRule="exact"/>
              <w:ind w:left="0" w:right="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eastAsia" w:ascii="黑体" w:hAnsi="黑体" w:eastAsia="黑体" w:cs="黑体"/>
          <w:sz w:val="32"/>
          <w:szCs w:val="32"/>
          <w:highlight w:val="none"/>
        </w:rPr>
      </w:pPr>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 xml:space="preserve">岳阳市城市建设档案馆          </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br w:type="page"/>
      </w:r>
    </w:p>
    <w:p>
      <w:pPr>
        <w:spacing w:before="140" w:line="757" w:lineRule="exact"/>
        <w:ind w:firstLine="1482" w:firstLineChars="300"/>
        <w:jc w:val="both"/>
        <w:rPr>
          <w:rFonts w:ascii="宋体" w:hAnsi="宋体" w:cs="宋体"/>
          <w:b/>
          <w:bCs/>
          <w:color w:val="000000" w:themeColor="text1"/>
          <w:spacing w:val="32"/>
          <w:position w:val="24"/>
          <w:sz w:val="43"/>
          <w:szCs w:val="43"/>
          <w14:textFill>
            <w14:solidFill>
              <w14:schemeClr w14:val="tx1"/>
            </w14:solidFill>
          </w14:textFill>
        </w:rPr>
      </w:pPr>
      <w:r>
        <w:rPr>
          <w:rFonts w:ascii="宋体" w:hAnsi="宋体" w:cs="宋体"/>
          <w:b/>
          <w:bCs/>
          <w:color w:val="000000" w:themeColor="text1"/>
          <w:spacing w:val="32"/>
          <w:position w:val="24"/>
          <w:sz w:val="43"/>
          <w:szCs w:val="43"/>
          <w14:textFill>
            <w14:solidFill>
              <w14:schemeClr w14:val="tx1"/>
            </w14:solidFill>
          </w14:textFill>
        </w:rPr>
        <w:t>202</w:t>
      </w:r>
      <w:r>
        <w:rPr>
          <w:rFonts w:hint="eastAsia" w:ascii="宋体" w:hAnsi="宋体" w:cs="宋体"/>
          <w:b/>
          <w:bCs/>
          <w:color w:val="000000" w:themeColor="text1"/>
          <w:spacing w:val="32"/>
          <w:position w:val="24"/>
          <w:sz w:val="43"/>
          <w:szCs w:val="43"/>
          <w:lang w:val="en-US" w:eastAsia="zh-CN"/>
          <w14:textFill>
            <w14:solidFill>
              <w14:schemeClr w14:val="tx1"/>
            </w14:solidFill>
          </w14:textFill>
        </w:rPr>
        <w:t>4</w:t>
      </w:r>
      <w:r>
        <w:rPr>
          <w:rFonts w:ascii="宋体" w:hAnsi="宋体" w:cs="宋体"/>
          <w:b/>
          <w:bCs/>
          <w:color w:val="000000" w:themeColor="text1"/>
          <w:spacing w:val="32"/>
          <w:position w:val="24"/>
          <w:sz w:val="43"/>
          <w:szCs w:val="43"/>
          <w14:textFill>
            <w14:solidFill>
              <w14:schemeClr w14:val="tx1"/>
            </w14:solidFill>
          </w14:textFill>
        </w:rPr>
        <w:t>年度</w:t>
      </w:r>
      <w:r>
        <w:rPr>
          <w:rFonts w:hint="eastAsia" w:ascii="宋体" w:hAnsi="宋体" w:cs="宋体"/>
          <w:b/>
          <w:bCs/>
          <w:color w:val="000000" w:themeColor="text1"/>
          <w:spacing w:val="32"/>
          <w:position w:val="24"/>
          <w:sz w:val="43"/>
          <w:szCs w:val="43"/>
          <w14:textFill>
            <w14:solidFill>
              <w14:schemeClr w14:val="tx1"/>
            </w14:solidFill>
          </w14:textFill>
        </w:rPr>
        <w:t>岳阳市城市建设档案馆</w:t>
      </w:r>
    </w:p>
    <w:p>
      <w:pPr>
        <w:pStyle w:val="4"/>
        <w:ind w:firstLine="2470" w:firstLineChars="500"/>
        <w:jc w:val="both"/>
        <w:rPr>
          <w:rFonts w:ascii="宋体" w:hAnsi="宋体" w:cs="宋体"/>
          <w:b/>
          <w:bCs/>
          <w:color w:val="000000" w:themeColor="text1"/>
          <w:spacing w:val="32"/>
          <w:position w:val="24"/>
          <w:sz w:val="43"/>
          <w:szCs w:val="43"/>
          <w14:textFill>
            <w14:solidFill>
              <w14:schemeClr w14:val="tx1"/>
            </w14:solidFill>
          </w14:textFill>
        </w:rPr>
      </w:pPr>
      <w:r>
        <w:rPr>
          <w:rFonts w:hint="eastAsia" w:ascii="宋体" w:hAnsi="宋体" w:cs="宋体"/>
          <w:b/>
          <w:bCs/>
          <w:color w:val="000000" w:themeColor="text1"/>
          <w:spacing w:val="32"/>
          <w:position w:val="24"/>
          <w:sz w:val="43"/>
          <w:szCs w:val="43"/>
          <w14:textFill>
            <w14:solidFill>
              <w14:schemeClr w14:val="tx1"/>
            </w14:solidFill>
          </w14:textFill>
        </w:rPr>
        <w:t>整体支出绩效自评报告</w:t>
      </w:r>
    </w:p>
    <w:p>
      <w:pPr>
        <w:spacing w:line="299" w:lineRule="auto"/>
        <w:rPr>
          <w:rFonts w:ascii="Arial"/>
          <w:color w:val="000000" w:themeColor="text1"/>
          <w:sz w:val="21"/>
          <w14:textFill>
            <w14:solidFill>
              <w14:schemeClr w14:val="tx1"/>
            </w14:solidFill>
          </w14:textFill>
        </w:rPr>
      </w:pPr>
    </w:p>
    <w:p>
      <w:pPr>
        <w:numPr>
          <w:ilvl w:val="0"/>
          <w:numId w:val="0"/>
        </w:numPr>
        <w:spacing w:before="104" w:line="222" w:lineRule="auto"/>
        <w:ind w:firstLine="744" w:firstLineChars="200"/>
        <w:rPr>
          <w:rFonts w:ascii="黑体" w:hAnsi="黑体" w:eastAsia="黑体" w:cs="黑体"/>
          <w:color w:val="000000" w:themeColor="text1"/>
          <w:spacing w:val="26"/>
          <w:sz w:val="32"/>
          <w:szCs w:val="32"/>
          <w14:textFill>
            <w14:solidFill>
              <w14:schemeClr w14:val="tx1"/>
            </w14:solidFill>
          </w14:textFill>
        </w:rPr>
      </w:pPr>
      <w:r>
        <w:rPr>
          <w:rFonts w:hint="eastAsia" w:ascii="黑体" w:hAnsi="黑体" w:eastAsia="黑体" w:cs="黑体"/>
          <w:color w:val="000000" w:themeColor="text1"/>
          <w:spacing w:val="26"/>
          <w:sz w:val="32"/>
          <w:szCs w:val="32"/>
          <w:lang w:val="en-US" w:eastAsia="zh-CN"/>
          <w14:textFill>
            <w14:solidFill>
              <w14:schemeClr w14:val="tx1"/>
            </w14:solidFill>
          </w14:textFill>
        </w:rPr>
        <w:t>一</w:t>
      </w:r>
      <w:r>
        <w:rPr>
          <w:rFonts w:hint="eastAsia" w:ascii="黑体" w:hAnsi="黑体" w:eastAsia="黑体" w:cs="黑体"/>
          <w:color w:val="000000" w:themeColor="text1"/>
          <w:spacing w:val="26"/>
          <w:sz w:val="32"/>
          <w:szCs w:val="32"/>
          <w:lang w:eastAsia="zh-CN"/>
          <w14:textFill>
            <w14:solidFill>
              <w14:schemeClr w14:val="tx1"/>
            </w14:solidFill>
          </w14:textFill>
        </w:rPr>
        <w:t>、</w:t>
      </w:r>
      <w:r>
        <w:rPr>
          <w:rFonts w:ascii="黑体" w:hAnsi="黑体" w:eastAsia="黑体" w:cs="黑体"/>
          <w:color w:val="000000" w:themeColor="text1"/>
          <w:spacing w:val="26"/>
          <w:sz w:val="32"/>
          <w:szCs w:val="32"/>
          <w14:textFill>
            <w14:solidFill>
              <w14:schemeClr w14:val="tx1"/>
            </w14:solidFill>
          </w14:textFill>
        </w:rPr>
        <w:t>部门(单位)基本情况</w:t>
      </w:r>
    </w:p>
    <w:p>
      <w:pPr>
        <w:pStyle w:val="5"/>
        <w:spacing w:before="0" w:after="0"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职能职责</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负责拟定城建档案发展规划。</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负责城市规划区范围内的城建档案的统一管理。</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负责做好进馆档案的保管、保护工作。</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负责依法收集、接受、征集市区范围内产生的需永久和长期保管的城建档案等有关资料。</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负责开发城建档案信息资源。</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负责县（市、区）城建档案工作的指导、监督、检查。</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负责城市规划区范围内地下管线资料及数据的收集、管理、利用工作。</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负责住房和城乡建设信息资源管理、信息系统规划建设、智慧住建等行政辅助和技术保障工作。</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完成市住建局交办的其他工作</w:t>
      </w:r>
      <w:r>
        <w:rPr>
          <w:rFonts w:ascii="仿宋" w:hAnsi="仿宋" w:eastAsia="仿宋"/>
          <w:sz w:val="32"/>
          <w:szCs w:val="32"/>
        </w:rPr>
        <w:t>。</w:t>
      </w:r>
    </w:p>
    <w:p>
      <w:pPr>
        <w:ind w:firstLine="640" w:firstLineChars="200"/>
        <w:rPr>
          <w:rFonts w:hint="default" w:eastAsia="仿宋"/>
          <w:lang w:val="en-US" w:eastAsia="zh-CN"/>
        </w:rPr>
      </w:pPr>
      <w:r>
        <w:rPr>
          <w:rFonts w:hint="eastAsia" w:eastAsia="仿宋"/>
          <w:sz w:val="32"/>
          <w:szCs w:val="32"/>
          <w:lang w:eastAsia="zh-CN"/>
        </w:rPr>
        <w:t>（</w:t>
      </w:r>
      <w:r>
        <w:rPr>
          <w:rFonts w:hint="eastAsia" w:eastAsia="仿宋"/>
          <w:sz w:val="32"/>
          <w:szCs w:val="32"/>
          <w:lang w:val="en-US" w:eastAsia="zh-CN"/>
        </w:rPr>
        <w:t>二</w:t>
      </w:r>
      <w:r>
        <w:rPr>
          <w:rFonts w:hint="eastAsia" w:eastAsia="仿宋"/>
          <w:sz w:val="32"/>
          <w:szCs w:val="32"/>
          <w:lang w:eastAsia="zh-CN"/>
        </w:rPr>
        <w:t>）</w:t>
      </w:r>
      <w:r>
        <w:rPr>
          <w:rFonts w:hint="eastAsia" w:eastAsia="仿宋"/>
          <w:sz w:val="32"/>
          <w:szCs w:val="32"/>
          <w:lang w:val="en-US" w:eastAsia="zh-CN"/>
        </w:rPr>
        <w:t>机构设置</w:t>
      </w:r>
    </w:p>
    <w:p>
      <w:pPr>
        <w:pStyle w:val="5"/>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独立编制、核算机构数1个，内设科室3个：综合室、业务室、信息室。核定编制23人，正式干部职工19人，退休人员12人，临聘人员3人。领导职数：馆长（正科级）1名，副馆长（副科级）4名，党组织专职副书记兼纪检员（副科级）1名。</w:t>
      </w:r>
    </w:p>
    <w:p>
      <w:pPr>
        <w:pStyle w:val="4"/>
        <w:ind w:firstLine="0" w:firstLineChars="0"/>
      </w:pPr>
    </w:p>
    <w:p>
      <w:pPr>
        <w:spacing w:before="242" w:line="221" w:lineRule="auto"/>
        <w:ind w:left="610"/>
        <w:rPr>
          <w:rFonts w:ascii="黑体" w:hAnsi="黑体" w:eastAsia="黑体" w:cs="黑体"/>
          <w:sz w:val="32"/>
          <w:szCs w:val="32"/>
        </w:rPr>
      </w:pPr>
      <w:r>
        <w:rPr>
          <w:rFonts w:ascii="黑体" w:hAnsi="黑体" w:eastAsia="黑体" w:cs="黑体"/>
          <w:spacing w:val="-8"/>
          <w:sz w:val="32"/>
          <w:szCs w:val="32"/>
        </w:rPr>
        <w:t>二、</w:t>
      </w:r>
      <w:r>
        <w:rPr>
          <w:rFonts w:ascii="黑体" w:hAnsi="黑体" w:eastAsia="黑体" w:cs="黑体"/>
          <w:spacing w:val="-73"/>
          <w:sz w:val="32"/>
          <w:szCs w:val="32"/>
        </w:rPr>
        <w:t xml:space="preserve"> </w:t>
      </w:r>
      <w:r>
        <w:rPr>
          <w:rFonts w:ascii="黑体" w:hAnsi="黑体" w:eastAsia="黑体" w:cs="黑体"/>
          <w:spacing w:val="-8"/>
          <w:sz w:val="32"/>
          <w:szCs w:val="32"/>
        </w:rPr>
        <w:t>一般公共预算支出情况</w:t>
      </w:r>
    </w:p>
    <w:p>
      <w:pPr>
        <w:pStyle w:val="5"/>
        <w:spacing w:before="0" w:after="0" w:line="600" w:lineRule="exact"/>
        <w:ind w:firstLine="640" w:firstLineChars="200"/>
        <w:rPr>
          <w:rFonts w:ascii="仿宋" w:hAnsi="仿宋" w:eastAsia="仿宋"/>
          <w:sz w:val="32"/>
          <w:szCs w:val="32"/>
        </w:rPr>
      </w:pPr>
      <w:r>
        <w:rPr>
          <w:rFonts w:ascii="仿宋" w:hAnsi="仿宋" w:eastAsia="仿宋"/>
          <w:sz w:val="32"/>
          <w:szCs w:val="32"/>
        </w:rPr>
        <w:t>(一)基本支出情况</w:t>
      </w:r>
    </w:p>
    <w:p>
      <w:pPr>
        <w:pStyle w:val="5"/>
        <w:spacing w:before="0" w:after="0" w:line="600" w:lineRule="exact"/>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年度财政拨款基本支出</w:t>
      </w:r>
      <w:r>
        <w:rPr>
          <w:rFonts w:hint="eastAsia" w:ascii="仿宋" w:hAnsi="仿宋" w:eastAsia="仿宋"/>
          <w:sz w:val="32"/>
          <w:szCs w:val="32"/>
          <w:lang w:val="en-US" w:eastAsia="zh-CN"/>
        </w:rPr>
        <w:t>328.59</w:t>
      </w:r>
      <w:r>
        <w:rPr>
          <w:rFonts w:hint="eastAsia" w:ascii="仿宋" w:hAnsi="仿宋" w:eastAsia="仿宋"/>
          <w:sz w:val="32"/>
          <w:szCs w:val="32"/>
        </w:rPr>
        <w:t>万元，其中人员经费3</w:t>
      </w:r>
      <w:r>
        <w:rPr>
          <w:rFonts w:hint="eastAsia" w:ascii="仿宋" w:hAnsi="仿宋" w:eastAsia="仿宋"/>
          <w:sz w:val="32"/>
          <w:szCs w:val="32"/>
          <w:lang w:val="en-US" w:eastAsia="zh-CN"/>
        </w:rPr>
        <w:t>04.61</w:t>
      </w:r>
      <w:r>
        <w:rPr>
          <w:rFonts w:hint="eastAsia" w:ascii="仿宋" w:hAnsi="仿宋" w:eastAsia="仿宋"/>
          <w:sz w:val="32"/>
          <w:szCs w:val="32"/>
        </w:rPr>
        <w:t>万元，占基本支出的</w:t>
      </w:r>
      <w:r>
        <w:rPr>
          <w:rFonts w:hint="eastAsia" w:ascii="仿宋" w:hAnsi="仿宋" w:eastAsia="仿宋"/>
          <w:sz w:val="32"/>
          <w:szCs w:val="32"/>
          <w:lang w:val="en-US" w:eastAsia="zh-CN"/>
        </w:rPr>
        <w:t>92.70</w:t>
      </w:r>
      <w:r>
        <w:rPr>
          <w:rFonts w:hint="eastAsia" w:ascii="仿宋" w:hAnsi="仿宋" w:eastAsia="仿宋"/>
          <w:sz w:val="32"/>
          <w:szCs w:val="32"/>
        </w:rPr>
        <w:t>%；公用经费</w:t>
      </w:r>
      <w:r>
        <w:rPr>
          <w:rFonts w:hint="eastAsia" w:ascii="仿宋" w:hAnsi="仿宋" w:eastAsia="仿宋"/>
          <w:sz w:val="32"/>
          <w:szCs w:val="32"/>
          <w:lang w:val="en-US" w:eastAsia="zh-CN"/>
        </w:rPr>
        <w:t>23.98</w:t>
      </w:r>
      <w:r>
        <w:rPr>
          <w:rFonts w:hint="eastAsia" w:ascii="仿宋" w:hAnsi="仿宋" w:eastAsia="仿宋"/>
          <w:sz w:val="32"/>
          <w:szCs w:val="32"/>
        </w:rPr>
        <w:t>万元，占基本支出的</w:t>
      </w:r>
      <w:r>
        <w:rPr>
          <w:rFonts w:hint="eastAsia" w:ascii="仿宋" w:hAnsi="仿宋" w:eastAsia="仿宋"/>
          <w:sz w:val="32"/>
          <w:szCs w:val="32"/>
          <w:lang w:val="en-US" w:eastAsia="zh-CN"/>
        </w:rPr>
        <w:t>7.30</w:t>
      </w:r>
      <w:r>
        <w:rPr>
          <w:rFonts w:hint="eastAsia" w:ascii="仿宋" w:hAnsi="仿宋" w:eastAsia="仿宋"/>
          <w:sz w:val="32"/>
          <w:szCs w:val="32"/>
        </w:rPr>
        <w:t>%。</w:t>
      </w:r>
    </w:p>
    <w:p>
      <w:pPr>
        <w:pStyle w:val="5"/>
        <w:spacing w:before="0" w:after="0" w:line="600" w:lineRule="exact"/>
        <w:ind w:firstLine="640" w:firstLineChars="200"/>
        <w:rPr>
          <w:rFonts w:ascii="仿宋" w:hAnsi="仿宋" w:eastAsia="仿宋"/>
          <w:sz w:val="32"/>
          <w:szCs w:val="32"/>
        </w:rPr>
      </w:pPr>
      <w:r>
        <w:rPr>
          <w:rFonts w:ascii="仿宋" w:hAnsi="仿宋" w:eastAsia="仿宋"/>
          <w:sz w:val="32"/>
          <w:szCs w:val="32"/>
        </w:rPr>
        <w:t>（二）项目支出情况</w:t>
      </w:r>
    </w:p>
    <w:p>
      <w:pPr>
        <w:pStyle w:val="5"/>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年度财政拨款项目支出</w:t>
      </w:r>
      <w:r>
        <w:rPr>
          <w:rFonts w:hint="eastAsia" w:ascii="仿宋" w:hAnsi="仿宋" w:eastAsia="仿宋"/>
          <w:sz w:val="32"/>
          <w:szCs w:val="32"/>
          <w:lang w:val="en-US" w:eastAsia="zh-CN"/>
        </w:rPr>
        <w:t>530.78</w:t>
      </w:r>
      <w:r>
        <w:rPr>
          <w:rFonts w:hint="eastAsia" w:ascii="仿宋" w:hAnsi="仿宋" w:eastAsia="仿宋"/>
          <w:sz w:val="32"/>
          <w:szCs w:val="32"/>
        </w:rPr>
        <w:t>万元，</w:t>
      </w:r>
      <w:r>
        <w:rPr>
          <w:rFonts w:hint="eastAsia" w:ascii="仿宋" w:hAnsi="仿宋" w:eastAsia="仿宋"/>
          <w:sz w:val="32"/>
          <w:szCs w:val="32"/>
          <w:lang w:val="en-US" w:eastAsia="zh-CN"/>
        </w:rPr>
        <w:t>其中城市管网及污水处理补助项目支出409.89万元，占项目支出的77.22%；建设档案事务管理经费支出120.89万元，占项目支出的22.78%。</w:t>
      </w:r>
    </w:p>
    <w:p>
      <w:pPr>
        <w:spacing w:before="247" w:line="222" w:lineRule="auto"/>
        <w:ind w:left="610"/>
        <w:outlineLvl w:val="0"/>
        <w:rPr>
          <w:rFonts w:ascii="黑体" w:hAnsi="黑体" w:eastAsia="黑体" w:cs="黑体"/>
          <w:b/>
          <w:bCs/>
          <w:spacing w:val="-13"/>
          <w:sz w:val="32"/>
          <w:szCs w:val="32"/>
        </w:rPr>
      </w:pPr>
      <w:r>
        <w:rPr>
          <w:rFonts w:ascii="黑体" w:hAnsi="黑体" w:eastAsia="黑体" w:cs="黑体"/>
          <w:b/>
          <w:bCs/>
          <w:spacing w:val="-13"/>
          <w:sz w:val="32"/>
          <w:szCs w:val="32"/>
        </w:rPr>
        <w:t>三、政府性基金预算支出情况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hint="eastAsia" w:ascii="黑体" w:hAnsi="黑体" w:eastAsia="黑体" w:cs="黑体"/>
          <w:b/>
          <w:bCs/>
          <w:spacing w:val="-13"/>
          <w:sz w:val="32"/>
          <w:szCs w:val="32"/>
        </w:rPr>
        <w:t>四、</w:t>
      </w:r>
      <w:r>
        <w:rPr>
          <w:rFonts w:ascii="黑体" w:hAnsi="黑体" w:eastAsia="黑体" w:cs="黑体"/>
          <w:b/>
          <w:bCs/>
          <w:spacing w:val="-13"/>
          <w:sz w:val="32"/>
          <w:szCs w:val="32"/>
        </w:rPr>
        <w:t>国有资本经营预算支出情况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ascii="黑体" w:hAnsi="黑体" w:eastAsia="黑体" w:cs="黑体"/>
          <w:b/>
          <w:bCs/>
          <w:spacing w:val="-13"/>
          <w:sz w:val="32"/>
          <w:szCs w:val="32"/>
        </w:rPr>
        <w:t>五、社会保险基金预算支出情况</w:t>
      </w:r>
    </w:p>
    <w:p>
      <w:pPr>
        <w:spacing w:before="255"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numPr>
          <w:ilvl w:val="0"/>
          <w:numId w:val="6"/>
        </w:numPr>
        <w:spacing w:before="255" w:line="221" w:lineRule="auto"/>
        <w:ind w:left="614"/>
        <w:outlineLvl w:val="0"/>
        <w:rPr>
          <w:rFonts w:ascii="黑体" w:hAnsi="黑体" w:eastAsia="黑体" w:cs="黑体"/>
          <w:b/>
          <w:bCs/>
          <w:spacing w:val="-13"/>
          <w:sz w:val="32"/>
          <w:szCs w:val="32"/>
        </w:rPr>
      </w:pPr>
      <w:r>
        <w:rPr>
          <w:rFonts w:ascii="黑体" w:hAnsi="黑体" w:eastAsia="黑体" w:cs="黑体"/>
          <w:b/>
          <w:bCs/>
          <w:spacing w:val="-13"/>
          <w:sz w:val="32"/>
          <w:szCs w:val="32"/>
        </w:rPr>
        <w:t>部门整体支出绩效情况</w:t>
      </w:r>
    </w:p>
    <w:p>
      <w:pPr>
        <w:pStyle w:val="11"/>
        <w:keepNext w:val="0"/>
        <w:keepLines w:val="0"/>
        <w:pageBreakBefore w:val="0"/>
        <w:widowControl w:val="0"/>
        <w:numPr>
          <w:ilvl w:val="0"/>
          <w:numId w:val="7"/>
        </w:numPr>
        <w:kinsoku/>
        <w:wordWrap/>
        <w:overflowPunct/>
        <w:topLinePunct w:val="0"/>
        <w:autoSpaceDE/>
        <w:autoSpaceDN/>
        <w:bidi w:val="0"/>
        <w:adjustRightInd/>
        <w:spacing w:beforeAutospacing="0" w:line="600" w:lineRule="exac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档案验收方面</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全年接收入库87个工程项目，合计入库23000余卷。其中，顺利办结市重点建设项目“岳阳学院”的档案验收，完成首个省档案验收单套制试点工程“胥家桥综合物流园一期C地块物流基地”档案验收工作。</w:t>
      </w:r>
    </w:p>
    <w:p>
      <w:pPr>
        <w:pStyle w:val="11"/>
        <w:keepNext w:val="0"/>
        <w:keepLines w:val="0"/>
        <w:pageBreakBefore w:val="0"/>
        <w:widowControl w:val="0"/>
        <w:numPr>
          <w:ilvl w:val="0"/>
          <w:numId w:val="7"/>
        </w:numPr>
        <w:kinsoku/>
        <w:wordWrap/>
        <w:overflowPunct/>
        <w:topLinePunct w:val="0"/>
        <w:autoSpaceDE/>
        <w:autoSpaceDN/>
        <w:bidi w:val="0"/>
        <w:adjustRightInd/>
        <w:spacing w:beforeAutospacing="0" w:line="600" w:lineRule="exact"/>
        <w:ind w:left="0" w:leftChars="0" w:firstLine="560" w:firstLineChars="0"/>
        <w:jc w:val="lef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馆藏档案查询利用方面</w:t>
      </w:r>
    </w:p>
    <w:p>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为有关单位和个人提供档案利用服务共计958人次，调档38697卷，提供电子档文字材料12215卷，图纸26482余张，提供地下管线档案查询利用服务4次，在群众房屋改扩建、物业维权、法律诉讼等领域发挥重要作用。</w:t>
      </w:r>
    </w:p>
    <w:p>
      <w:pPr>
        <w:pStyle w:val="11"/>
        <w:keepNext w:val="0"/>
        <w:keepLines w:val="0"/>
        <w:pageBreakBefore w:val="0"/>
        <w:widowControl w:val="0"/>
        <w:numPr>
          <w:ilvl w:val="0"/>
          <w:numId w:val="7"/>
        </w:numPr>
        <w:kinsoku/>
        <w:wordWrap/>
        <w:overflowPunct/>
        <w:topLinePunct w:val="0"/>
        <w:autoSpaceDE/>
        <w:autoSpaceDN/>
        <w:bidi w:val="0"/>
        <w:adjustRightInd/>
        <w:spacing w:beforeAutospacing="0" w:line="600" w:lineRule="exact"/>
        <w:ind w:left="0" w:leftChars="0" w:firstLine="560" w:firstLineChars="0"/>
        <w:jc w:val="lef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信息化建设方面</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一是有序开放政务公开信息数据。截至2024年12月9日，在门户网站发布信息共计1679条，招投标监管网发布107条。门户网站内容涵盖政务公开、行业管理、施工许可、红黄牌管理、商品房预售许可等多个方面，涉及政务公开类622条、行业管理171条、施工许可57条、红黄牌128条、商品房预售许可24条等。此外，局微信公众号发布69期内容，累计用户达到4836人，新增用户658人。二是及时准确报送协税数据。截至2024年12月9日，已向市大数据中心数据共享平台报送协税数据6485条，确保数据及时、准确地传输与共享，为决策提供数据支持。三是扎实开展住建系统日常维护。截至2024年12月9日，已完成1156次日常维护工作，涵盖网络设备、办公设备的维护与更新，办公区域搬迁、视频会议日常开展，一楼电子屏宣传展示等工作，有效保障机关各项工作正常运行。四是认真做好楼盘表维护与合同推送。安排专人负责楼盘表和合同推送工作，确保微信工作群内即时响应、实时调度，及时推送不动产登记所需数据，有效处理备案、维修资金窗口等日常业务，做到当天办理、当天解决，为市民提供高效便捷的服务。五是加强信息安全管理。完善制度建设，把机房管理、信息安全、保密工作等执行办法纳入制度管理。积极开展网络安全培训和网络安全专项检查，增强网络安全意识、防患化解风险隐患。</w:t>
      </w:r>
    </w:p>
    <w:p>
      <w:pPr>
        <w:pStyle w:val="11"/>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left="560" w:leftChars="0"/>
        <w:jc w:val="left"/>
        <w:textAlignment w:val="auto"/>
        <w:rPr>
          <w:rFonts w:hint="eastAsia" w:ascii="仿宋" w:hAnsi="仿宋" w:eastAsia="仿宋" w:cs="仿宋"/>
          <w:b/>
          <w:bCs/>
          <w:color w:val="auto"/>
          <w:sz w:val="32"/>
          <w:szCs w:val="32"/>
          <w:lang w:val="en-US" w:eastAsia="zh-CN"/>
        </w:rPr>
      </w:pPr>
    </w:p>
    <w:p>
      <w:pPr>
        <w:numPr>
          <w:ilvl w:val="0"/>
          <w:numId w:val="6"/>
        </w:numPr>
        <w:spacing w:before="276" w:line="222" w:lineRule="auto"/>
        <w:ind w:left="614" w:leftChars="0" w:firstLine="0" w:firstLineChars="0"/>
        <w:outlineLvl w:val="0"/>
        <w:rPr>
          <w:rFonts w:ascii="黑体" w:hAnsi="黑体" w:eastAsia="黑体" w:cs="黑体"/>
          <w:b/>
          <w:bCs/>
          <w:spacing w:val="-5"/>
          <w:sz w:val="32"/>
          <w:szCs w:val="32"/>
        </w:rPr>
      </w:pPr>
      <w:r>
        <w:rPr>
          <w:rFonts w:ascii="黑体" w:hAnsi="黑体" w:eastAsia="黑体" w:cs="黑体"/>
          <w:b/>
          <w:bCs/>
          <w:spacing w:val="-5"/>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before="276" w:line="600" w:lineRule="exact"/>
        <w:ind w:firstLine="640" w:firstLineChars="200"/>
        <w:textAlignment w:val="auto"/>
        <w:outlineLvl w:val="0"/>
        <w:rPr>
          <w:rFonts w:hint="eastAsia" w:ascii="仿宋" w:hAnsi="仿宋" w:eastAsia="仿宋" w:cs="仿宋"/>
          <w:b w:val="0"/>
          <w:bCs w:val="0"/>
          <w:color w:val="auto"/>
          <w:kern w:val="2"/>
          <w:sz w:val="32"/>
          <w:szCs w:val="32"/>
          <w:lang w:val="en-US" w:eastAsia="zh-CN" w:bidi="ar"/>
        </w:rPr>
      </w:pPr>
      <w:r>
        <w:rPr>
          <w:rFonts w:hint="eastAsia" w:ascii="仿宋" w:hAnsi="仿宋" w:eastAsia="仿宋" w:cs="仿宋"/>
          <w:b/>
          <w:bCs/>
          <w:color w:val="auto"/>
          <w:kern w:val="2"/>
          <w:sz w:val="32"/>
          <w:szCs w:val="32"/>
          <w:lang w:val="en-US" w:eastAsia="zh-CN" w:bidi="ar"/>
        </w:rPr>
        <w:t>1、预算执行进度不均衡。</w:t>
      </w:r>
      <w:r>
        <w:rPr>
          <w:rFonts w:hint="eastAsia" w:ascii="仿宋" w:hAnsi="仿宋" w:eastAsia="仿宋" w:cs="仿宋"/>
          <w:b w:val="0"/>
          <w:bCs w:val="0"/>
          <w:color w:val="auto"/>
          <w:kern w:val="2"/>
          <w:sz w:val="32"/>
          <w:szCs w:val="32"/>
          <w:lang w:val="en-US" w:eastAsia="zh-CN" w:bidi="ar"/>
        </w:rPr>
        <w:t>部分项目支出未能按计划支出，原因是部门之间，内部各环节之间缺乏沟通。</w:t>
      </w:r>
    </w:p>
    <w:p>
      <w:pPr>
        <w:keepNext w:val="0"/>
        <w:keepLines w:val="0"/>
        <w:pageBreakBefore w:val="0"/>
        <w:widowControl w:val="0"/>
        <w:numPr>
          <w:ilvl w:val="0"/>
          <w:numId w:val="0"/>
        </w:numPr>
        <w:kinsoku/>
        <w:wordWrap/>
        <w:overflowPunct/>
        <w:topLinePunct w:val="0"/>
        <w:autoSpaceDE/>
        <w:autoSpaceDN/>
        <w:bidi w:val="0"/>
        <w:adjustRightInd/>
        <w:snapToGrid/>
        <w:spacing w:before="276" w:line="600" w:lineRule="exact"/>
        <w:ind w:firstLine="640" w:firstLineChars="200"/>
        <w:textAlignment w:val="auto"/>
        <w:outlineLvl w:val="0"/>
        <w:rPr>
          <w:rFonts w:hint="eastAsia" w:ascii="仿宋" w:hAnsi="仿宋" w:eastAsia="仿宋" w:cs="仿宋"/>
          <w:b w:val="0"/>
          <w:bCs w:val="0"/>
          <w:color w:val="auto"/>
          <w:kern w:val="2"/>
          <w:sz w:val="32"/>
          <w:szCs w:val="32"/>
          <w:lang w:val="en-US" w:eastAsia="zh-CN" w:bidi="ar"/>
        </w:rPr>
      </w:pPr>
      <w:r>
        <w:rPr>
          <w:rFonts w:hint="eastAsia" w:ascii="仿宋" w:hAnsi="仿宋" w:eastAsia="仿宋" w:cs="仿宋"/>
          <w:b/>
          <w:bCs/>
          <w:color w:val="auto"/>
          <w:kern w:val="2"/>
          <w:sz w:val="32"/>
          <w:szCs w:val="32"/>
          <w:lang w:val="en-US" w:eastAsia="zh-CN" w:bidi="ar"/>
        </w:rPr>
        <w:t>2、绩效管理意识不强。</w:t>
      </w:r>
      <w:r>
        <w:rPr>
          <w:rFonts w:hint="eastAsia" w:ascii="仿宋" w:hAnsi="仿宋" w:eastAsia="仿宋" w:cs="仿宋"/>
          <w:b w:val="0"/>
          <w:bCs w:val="0"/>
          <w:color w:val="auto"/>
          <w:kern w:val="2"/>
          <w:sz w:val="32"/>
          <w:szCs w:val="32"/>
          <w:lang w:val="en-US" w:eastAsia="zh-CN" w:bidi="ar"/>
        </w:rPr>
        <w:t>对绩效评价工作重视程度不够，缺乏主动意识，原因是对绩效理念的宣传和培训不足。</w:t>
      </w:r>
    </w:p>
    <w:p>
      <w:pPr>
        <w:keepNext w:val="0"/>
        <w:keepLines w:val="0"/>
        <w:pageBreakBefore w:val="0"/>
        <w:widowControl w:val="0"/>
        <w:numPr>
          <w:ilvl w:val="0"/>
          <w:numId w:val="0"/>
        </w:numPr>
        <w:kinsoku/>
        <w:wordWrap/>
        <w:overflowPunct/>
        <w:topLinePunct w:val="0"/>
        <w:autoSpaceDE/>
        <w:autoSpaceDN/>
        <w:bidi w:val="0"/>
        <w:adjustRightInd/>
        <w:snapToGrid/>
        <w:spacing w:before="276" w:line="600" w:lineRule="exact"/>
        <w:ind w:firstLine="640" w:firstLineChars="200"/>
        <w:textAlignment w:val="auto"/>
        <w:outlineLvl w:val="0"/>
        <w:rPr>
          <w:rFonts w:hint="eastAsia" w:ascii="仿宋" w:hAnsi="仿宋" w:eastAsia="仿宋" w:cs="仿宋"/>
          <w:b w:val="0"/>
          <w:bCs w:val="0"/>
          <w:color w:val="auto"/>
          <w:kern w:val="2"/>
          <w:sz w:val="32"/>
          <w:szCs w:val="32"/>
          <w:lang w:val="en-US" w:eastAsia="zh-CN" w:bidi="ar"/>
        </w:rPr>
      </w:pPr>
      <w:r>
        <w:rPr>
          <w:rFonts w:hint="eastAsia" w:ascii="仿宋" w:hAnsi="仿宋" w:eastAsia="仿宋" w:cs="仿宋"/>
          <w:b/>
          <w:bCs/>
          <w:color w:val="auto"/>
          <w:kern w:val="2"/>
          <w:sz w:val="32"/>
          <w:szCs w:val="32"/>
          <w:lang w:val="en-US" w:eastAsia="zh-CN" w:bidi="ar"/>
        </w:rPr>
        <w:t>3、绩效指标设置不够精准。</w:t>
      </w:r>
      <w:r>
        <w:rPr>
          <w:rFonts w:hint="eastAsia" w:ascii="仿宋" w:hAnsi="仿宋" w:eastAsia="仿宋" w:cs="仿宋"/>
          <w:b w:val="0"/>
          <w:bCs w:val="0"/>
          <w:color w:val="auto"/>
          <w:kern w:val="2"/>
          <w:sz w:val="32"/>
          <w:szCs w:val="32"/>
          <w:lang w:val="en-US" w:eastAsia="zh-CN" w:bidi="ar"/>
        </w:rPr>
        <w:t>部分绩效指标难以准确衡量实际绩效，原因是指标设置时考虑不够全面，缺乏对实际工作的深入理解。</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八、下一步改进措施</w:t>
      </w:r>
    </w:p>
    <w:p>
      <w:pPr>
        <w:keepNext w:val="0"/>
        <w:keepLines w:val="0"/>
        <w:pageBreakBefore w:val="0"/>
        <w:widowControl w:val="0"/>
        <w:kinsoku/>
        <w:wordWrap/>
        <w:overflowPunct/>
        <w:topLinePunct w:val="0"/>
        <w:autoSpaceDE/>
        <w:autoSpaceDN/>
        <w:bidi w:val="0"/>
        <w:adjustRightInd/>
        <w:snapToGrid/>
        <w:spacing w:before="250" w:line="600" w:lineRule="exact"/>
        <w:ind w:firstLine="640" w:firstLineChars="200"/>
        <w:textAlignment w:val="auto"/>
        <w:outlineLvl w:val="0"/>
        <w:rPr>
          <w:rFonts w:hint="eastAsia" w:ascii="仿宋" w:hAnsi="仿宋" w:eastAsia="仿宋" w:cs="仿宋"/>
          <w:sz w:val="32"/>
          <w:szCs w:val="32"/>
          <w:vertAlign w:val="baseline"/>
          <w:lang w:val="en-US" w:eastAsia="zh-CN"/>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vertAlign w:val="baseline"/>
          <w:lang w:val="en-US" w:eastAsia="zh-CN"/>
        </w:rPr>
        <w:t>加强预算执</w:t>
      </w:r>
      <w:r>
        <w:rPr>
          <w:rFonts w:hint="eastAsia" w:ascii="仿宋" w:hAnsi="仿宋" w:eastAsia="仿宋" w:cs="仿宋"/>
          <w:sz w:val="32"/>
          <w:szCs w:val="32"/>
          <w:vertAlign w:val="baseline"/>
          <w:lang w:val="en-US" w:eastAsia="zh-CN"/>
        </w:rPr>
        <w:t>行管理，加强各部门，内部各环节之间的沟通，建立定期跟踪机制，确保今后项目支出及时支付。</w:t>
      </w:r>
    </w:p>
    <w:p>
      <w:pPr>
        <w:keepNext w:val="0"/>
        <w:keepLines w:val="0"/>
        <w:pageBreakBefore w:val="0"/>
        <w:widowControl w:val="0"/>
        <w:kinsoku/>
        <w:wordWrap/>
        <w:overflowPunct/>
        <w:topLinePunct w:val="0"/>
        <w:autoSpaceDE/>
        <w:autoSpaceDN/>
        <w:bidi w:val="0"/>
        <w:adjustRightInd/>
        <w:snapToGrid/>
        <w:spacing w:before="250" w:line="600" w:lineRule="exact"/>
        <w:ind w:firstLine="640" w:firstLineChars="200"/>
        <w:textAlignment w:val="auto"/>
        <w:outlineLvl w:val="0"/>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2、强化绩效管理意识，加强绩效理念的宣传和培训力度，提高全员重视程度。</w:t>
      </w:r>
    </w:p>
    <w:p>
      <w:pPr>
        <w:keepNext w:val="0"/>
        <w:keepLines w:val="0"/>
        <w:pageBreakBefore w:val="0"/>
        <w:widowControl w:val="0"/>
        <w:kinsoku/>
        <w:wordWrap/>
        <w:overflowPunct/>
        <w:topLinePunct w:val="0"/>
        <w:autoSpaceDE/>
        <w:autoSpaceDN/>
        <w:bidi w:val="0"/>
        <w:adjustRightInd/>
        <w:snapToGrid/>
        <w:spacing w:before="250" w:line="600" w:lineRule="exact"/>
        <w:ind w:firstLine="640" w:firstLineChars="200"/>
        <w:textAlignment w:val="auto"/>
        <w:outlineLvl w:val="0"/>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3、优化绩效指标体系，结合实际情况进行深入调研和分析，确保指标科学合理。</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九、 部门整体支出绩效自评结果拟应用和公开情况</w:t>
      </w:r>
    </w:p>
    <w:p>
      <w:pPr>
        <w:keepNext w:val="0"/>
        <w:keepLines w:val="0"/>
        <w:pageBreakBefore w:val="0"/>
        <w:widowControl w:val="0"/>
        <w:kinsoku/>
        <w:wordWrap/>
        <w:overflowPunct/>
        <w:topLinePunct w:val="0"/>
        <w:autoSpaceDE/>
        <w:autoSpaceDN/>
        <w:bidi w:val="0"/>
        <w:adjustRightInd/>
        <w:snapToGrid/>
        <w:spacing w:before="250" w:line="600" w:lineRule="atLeast"/>
        <w:ind w:firstLine="640" w:firstLineChars="200"/>
        <w:textAlignment w:val="auto"/>
        <w:outlineLvl w:val="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立了部门整体支出绩效自评结果与单位预算相结合的应用机制，强化评价结果在单位预算编制和执行中的应用，促进财政资金的合理分配和有效使用。同时将评价结果按照政府信息公开的要求进行公开，加强社会公众对财政资金使用效益的监督。</w:t>
      </w:r>
    </w:p>
    <w:p>
      <w:pPr>
        <w:spacing w:before="1" w:line="220" w:lineRule="auto"/>
        <w:ind w:left="694"/>
        <w:rPr>
          <w:rFonts w:ascii="黑体" w:hAnsi="黑体" w:eastAsia="黑体" w:cs="黑体"/>
          <w:b/>
          <w:bCs/>
          <w:sz w:val="31"/>
          <w:szCs w:val="31"/>
        </w:rPr>
      </w:pPr>
      <w:r>
        <w:rPr>
          <w:rFonts w:ascii="黑体" w:hAnsi="黑体" w:eastAsia="黑体" w:cs="黑体"/>
          <w:b/>
          <w:bCs/>
          <w:sz w:val="31"/>
          <w:szCs w:val="31"/>
        </w:rPr>
        <w:t>其他需要说明的情况</w:t>
      </w:r>
    </w:p>
    <w:p>
      <w:pPr>
        <w:ind w:firstLine="1240" w:firstLineChars="400"/>
        <w:rPr>
          <w:rFonts w:ascii="黑体" w:hAnsi="黑体" w:eastAsia="黑体" w:cs="黑体"/>
          <w:b/>
          <w:bCs/>
          <w:snapToGrid w:val="0"/>
          <w:sz w:val="31"/>
          <w:szCs w:val="31"/>
        </w:rPr>
      </w:pPr>
      <w:r>
        <w:rPr>
          <w:rFonts w:hint="eastAsia" w:ascii="黑体" w:hAnsi="黑体" w:eastAsia="黑体" w:cs="黑体"/>
          <w:b/>
          <w:bCs/>
          <w:snapToGrid w:val="0"/>
          <w:sz w:val="31"/>
          <w:szCs w:val="31"/>
        </w:rPr>
        <w:t>无</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12"/>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p>
          <w:p>
            <w:pPr>
              <w:keepNext w:val="0"/>
              <w:keepLines w:val="0"/>
              <w:suppressLineNumbers w:val="0"/>
              <w:spacing w:before="0" w:beforeAutospacing="0" w:after="0" w:afterAutospacing="0" w:line="300" w:lineRule="exact"/>
              <w:ind w:left="0" w:right="0"/>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keepNext w:val="0"/>
              <w:keepLines w:val="0"/>
              <w:numPr>
                <w:ilvl w:val="0"/>
                <w:numId w:val="8"/>
              </w:numPr>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keepNext w:val="0"/>
              <w:keepLines w:val="0"/>
              <w:numPr>
                <w:ilvl w:val="0"/>
                <w:numId w:val="8"/>
              </w:numPr>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keepNext w:val="0"/>
              <w:keepLines w:val="0"/>
              <w:suppressLineNumbers w:val="0"/>
              <w:spacing w:before="0" w:beforeAutospacing="0" w:after="0" w:afterAutospacing="0" w:line="240" w:lineRule="auto"/>
              <w:ind w:left="0" w:right="0"/>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keepNext w:val="0"/>
              <w:keepLines w:val="0"/>
              <w:suppressLineNumbers w:val="0"/>
              <w:spacing w:before="0" w:beforeAutospacing="0" w:after="0" w:afterAutospacing="0" w:line="240" w:lineRule="auto"/>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keepNext w:val="0"/>
              <w:keepLines w:val="0"/>
              <w:suppressLineNumbers w:val="0"/>
              <w:spacing w:before="0" w:beforeAutospacing="0" w:after="0" w:afterAutospacing="0" w:line="240" w:lineRule="auto"/>
              <w:ind w:left="0" w:right="0"/>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highlight w:val="none"/>
              </w:rPr>
            </w:pPr>
          </w:p>
          <w:p>
            <w:pPr>
              <w:keepNext w:val="0"/>
              <w:keepLines w:val="0"/>
              <w:suppressLineNumbers w:val="0"/>
              <w:spacing w:before="0" w:beforeAutospacing="0" w:after="0" w:afterAutospacing="0" w:line="240" w:lineRule="auto"/>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keepNext w:val="0"/>
              <w:keepLines w:val="0"/>
              <w:suppressLineNumbers w:val="0"/>
              <w:spacing w:before="0" w:beforeAutospacing="0" w:after="0" w:afterAutospacing="0" w:line="240" w:lineRule="auto"/>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auto"/>
              <w:ind w:left="0" w:right="0"/>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0" w:right="0"/>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C1551B70"/>
    <w:multiLevelType w:val="singleLevel"/>
    <w:tmpl w:val="C1551B70"/>
    <w:lvl w:ilvl="0" w:tentative="0">
      <w:start w:val="9"/>
      <w:numFmt w:val="chineseCounting"/>
      <w:suff w:val="nothing"/>
      <w:lvlText w:val="%1、"/>
      <w:lvlJc w:val="left"/>
      <w:rPr>
        <w:rFonts w:hint="eastAsia"/>
      </w:rPr>
    </w:lvl>
  </w:abstractNum>
  <w:abstractNum w:abstractNumId="2">
    <w:nsid w:val="D2C01C04"/>
    <w:multiLevelType w:val="singleLevel"/>
    <w:tmpl w:val="D2C01C04"/>
    <w:lvl w:ilvl="0" w:tentative="0">
      <w:start w:val="1"/>
      <w:numFmt w:val="chineseCounting"/>
      <w:suff w:val="nothing"/>
      <w:lvlText w:val="（%1）"/>
      <w:lvlJc w:val="left"/>
      <w:rPr>
        <w:rFonts w:hint="eastAsia"/>
      </w:rPr>
    </w:lvl>
  </w:abstractNum>
  <w:abstractNum w:abstractNumId="3">
    <w:nsid w:val="F4623889"/>
    <w:multiLevelType w:val="singleLevel"/>
    <w:tmpl w:val="F4623889"/>
    <w:lvl w:ilvl="0" w:tentative="0">
      <w:start w:val="6"/>
      <w:numFmt w:val="chineseCounting"/>
      <w:suff w:val="space"/>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49CE9F2"/>
    <w:multiLevelType w:val="singleLevel"/>
    <w:tmpl w:val="449CE9F2"/>
    <w:lvl w:ilvl="0" w:tentative="0">
      <w:start w:val="13"/>
      <w:numFmt w:val="chineseCounting"/>
      <w:suff w:val="nothing"/>
      <w:lvlText w:val="%1、"/>
      <w:lvlJc w:val="left"/>
      <w:rPr>
        <w:rFonts w:hint="eastAsia"/>
      </w:rPr>
    </w:lvl>
  </w:abstractNum>
  <w:abstractNum w:abstractNumId="6">
    <w:nsid w:val="4E3745F7"/>
    <w:multiLevelType w:val="singleLevel"/>
    <w:tmpl w:val="4E3745F7"/>
    <w:lvl w:ilvl="0" w:tentative="0">
      <w:start w:val="2"/>
      <w:numFmt w:val="decimal"/>
      <w:lvlText w:val="%1."/>
      <w:lvlJc w:val="left"/>
      <w:pPr>
        <w:tabs>
          <w:tab w:val="left" w:pos="312"/>
        </w:tabs>
      </w:pPr>
    </w:lvl>
  </w:abstractNum>
  <w:abstractNum w:abstractNumId="7">
    <w:nsid w:val="5DDF8822"/>
    <w:multiLevelType w:val="singleLevel"/>
    <w:tmpl w:val="5DDF8822"/>
    <w:lvl w:ilvl="0" w:tentative="0">
      <w:start w:val="1"/>
      <w:numFmt w:val="decimal"/>
      <w:suff w:val="nothing"/>
      <w:lvlText w:val="%1、"/>
      <w:lvlJc w:val="left"/>
    </w:lvl>
  </w:abstractNum>
  <w:num w:numId="1">
    <w:abstractNumId w:val="4"/>
  </w:num>
  <w:num w:numId="2">
    <w:abstractNumId w:val="1"/>
  </w:num>
  <w:num w:numId="3">
    <w:abstractNumId w:val="5"/>
  </w:num>
  <w:num w:numId="4">
    <w:abstractNumId w:val="6"/>
  </w:num>
  <w:num w:numId="5">
    <w:abstractNumId w:val="0"/>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1Y2E5ZjQxZWQ0NDk4ODI0NGM3NTM0NWE4OTIzYj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7B7436"/>
    <w:rsid w:val="0591547A"/>
    <w:rsid w:val="059958AD"/>
    <w:rsid w:val="06C857E7"/>
    <w:rsid w:val="08C24A73"/>
    <w:rsid w:val="092403B3"/>
    <w:rsid w:val="09D5345C"/>
    <w:rsid w:val="0A6A629A"/>
    <w:rsid w:val="11162CD7"/>
    <w:rsid w:val="11944E2C"/>
    <w:rsid w:val="12583BA5"/>
    <w:rsid w:val="13BA3DEE"/>
    <w:rsid w:val="13BA5B9C"/>
    <w:rsid w:val="14180F48"/>
    <w:rsid w:val="141A488D"/>
    <w:rsid w:val="15415E49"/>
    <w:rsid w:val="17463BEB"/>
    <w:rsid w:val="1C093B64"/>
    <w:rsid w:val="1C6568C1"/>
    <w:rsid w:val="1D97DEFF"/>
    <w:rsid w:val="1DFF72E5"/>
    <w:rsid w:val="1EFC6F07"/>
    <w:rsid w:val="1F0527A6"/>
    <w:rsid w:val="1F7A2683"/>
    <w:rsid w:val="213138BE"/>
    <w:rsid w:val="217D645B"/>
    <w:rsid w:val="22590C76"/>
    <w:rsid w:val="22AC03C2"/>
    <w:rsid w:val="24747FE9"/>
    <w:rsid w:val="256736AA"/>
    <w:rsid w:val="283B15FE"/>
    <w:rsid w:val="290556B4"/>
    <w:rsid w:val="2B6A5CA2"/>
    <w:rsid w:val="2D9A7B7C"/>
    <w:rsid w:val="2E933762"/>
    <w:rsid w:val="2FDF85B8"/>
    <w:rsid w:val="2FFFEE04"/>
    <w:rsid w:val="31434FCB"/>
    <w:rsid w:val="31C95635"/>
    <w:rsid w:val="335A03A0"/>
    <w:rsid w:val="34605E94"/>
    <w:rsid w:val="34DF85B0"/>
    <w:rsid w:val="3744384B"/>
    <w:rsid w:val="3810372D"/>
    <w:rsid w:val="39316051"/>
    <w:rsid w:val="395F3910"/>
    <w:rsid w:val="3AAA1C17"/>
    <w:rsid w:val="3B8F36BC"/>
    <w:rsid w:val="3CD25455"/>
    <w:rsid w:val="3E8D244F"/>
    <w:rsid w:val="40703903"/>
    <w:rsid w:val="43CF5434"/>
    <w:rsid w:val="43EB5BA5"/>
    <w:rsid w:val="44134CD1"/>
    <w:rsid w:val="470E79D1"/>
    <w:rsid w:val="491FF225"/>
    <w:rsid w:val="4B814C16"/>
    <w:rsid w:val="4CA0731E"/>
    <w:rsid w:val="4E597784"/>
    <w:rsid w:val="4EC310A1"/>
    <w:rsid w:val="4FFD214C"/>
    <w:rsid w:val="50E21CB3"/>
    <w:rsid w:val="5352765A"/>
    <w:rsid w:val="54A86D6F"/>
    <w:rsid w:val="55DF4A13"/>
    <w:rsid w:val="56BE6D1E"/>
    <w:rsid w:val="56FE711B"/>
    <w:rsid w:val="574E09E4"/>
    <w:rsid w:val="5777D4F5"/>
    <w:rsid w:val="577C44E3"/>
    <w:rsid w:val="57F22B6F"/>
    <w:rsid w:val="59DD8326"/>
    <w:rsid w:val="5C245875"/>
    <w:rsid w:val="5DEF592A"/>
    <w:rsid w:val="5FC6BB1E"/>
    <w:rsid w:val="5FF217E7"/>
    <w:rsid w:val="5FF720F1"/>
    <w:rsid w:val="622964C1"/>
    <w:rsid w:val="62C84A81"/>
    <w:rsid w:val="62EE2739"/>
    <w:rsid w:val="654A79CF"/>
    <w:rsid w:val="67FF5C0B"/>
    <w:rsid w:val="68264723"/>
    <w:rsid w:val="6BAA4A2F"/>
    <w:rsid w:val="6CAB169B"/>
    <w:rsid w:val="6DDEC5C0"/>
    <w:rsid w:val="6E927B55"/>
    <w:rsid w:val="6EFC0924"/>
    <w:rsid w:val="6FB74722"/>
    <w:rsid w:val="6FEF8B7E"/>
    <w:rsid w:val="71235CA4"/>
    <w:rsid w:val="717FE77F"/>
    <w:rsid w:val="71A6591B"/>
    <w:rsid w:val="71D21478"/>
    <w:rsid w:val="737D59BA"/>
    <w:rsid w:val="737F32B1"/>
    <w:rsid w:val="73BD3FCA"/>
    <w:rsid w:val="74017DF2"/>
    <w:rsid w:val="74640AAD"/>
    <w:rsid w:val="75FC4D15"/>
    <w:rsid w:val="776BDA01"/>
    <w:rsid w:val="77C37683"/>
    <w:rsid w:val="79FF515B"/>
    <w:rsid w:val="7C1D7794"/>
    <w:rsid w:val="7C330D65"/>
    <w:rsid w:val="7D965A4F"/>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link w:val="22"/>
    <w:unhideWhenUsed/>
    <w:qFormat/>
    <w:uiPriority w:val="0"/>
    <w:pPr>
      <w:keepNext/>
      <w:keepLines/>
      <w:spacing w:beforeLines="0" w:beforeAutospacing="0" w:afterLines="0" w:afterAutospacing="0" w:line="600" w:lineRule="exact"/>
      <w:outlineLvl w:val="2"/>
    </w:pPr>
    <w:rPr>
      <w:rFonts w:eastAsia="楷体_GB2312"/>
      <w:b/>
    </w:rPr>
  </w:style>
  <w:style w:type="character" w:default="1" w:styleId="13">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4">
    <w:name w:val="Normal Indent"/>
    <w:basedOn w:val="1"/>
    <w:unhideWhenUsed/>
    <w:qFormat/>
    <w:uiPriority w:val="0"/>
    <w:pPr>
      <w:ind w:firstLine="420" w:firstLineChars="200"/>
    </w:pPr>
    <w:rPr>
      <w:sz w:val="21"/>
    </w:rPr>
  </w:style>
  <w:style w:type="paragraph" w:styleId="5">
    <w:name w:val="toa heading"/>
    <w:basedOn w:val="1"/>
    <w:next w:val="1"/>
    <w:qFormat/>
    <w:uiPriority w:val="99"/>
    <w:pPr>
      <w:spacing w:before="120" w:after="200" w:line="276" w:lineRule="auto"/>
    </w:pPr>
    <w:rPr>
      <w:rFonts w:ascii="Arial" w:hAnsi="Arial"/>
      <w:kern w:val="2"/>
      <w:sz w:val="24"/>
      <w:szCs w:val="21"/>
    </w:rPr>
  </w:style>
  <w:style w:type="paragraph" w:styleId="6">
    <w:name w:val="Body Text Indent"/>
    <w:basedOn w:val="1"/>
    <w:next w:val="7"/>
    <w:unhideWhenUsed/>
    <w:qFormat/>
    <w:uiPriority w:val="99"/>
    <w:pPr>
      <w:widowControl/>
      <w:spacing w:after="120"/>
      <w:ind w:left="420" w:leftChars="200"/>
      <w:jc w:val="left"/>
    </w:pPr>
    <w:rPr>
      <w:rFonts w:ascii="宋体" w:hAnsi="宋体" w:eastAsia="宋体" w:cs="宋体"/>
      <w:kern w:val="0"/>
      <w:sz w:val="24"/>
    </w:rPr>
  </w:style>
  <w:style w:type="paragraph" w:styleId="7">
    <w:name w:val="Body Text First Indent 2"/>
    <w:basedOn w:val="6"/>
    <w:next w:val="1"/>
    <w:unhideWhenUsed/>
    <w:qFormat/>
    <w:uiPriority w:val="99"/>
    <w:pPr>
      <w:ind w:firstLine="420" w:firstLineChars="200"/>
    </w:pPr>
  </w:style>
  <w:style w:type="paragraph" w:styleId="8">
    <w:name w:val="Balloon Text"/>
    <w:basedOn w:val="1"/>
    <w:link w:val="18"/>
    <w:semiHidden/>
    <w:unhideWhenUsed/>
    <w:qFormat/>
    <w:uiPriority w:val="99"/>
    <w:rPr>
      <w:sz w:val="18"/>
      <w:szCs w:val="18"/>
    </w:rPr>
  </w:style>
  <w:style w:type="paragraph" w:styleId="9">
    <w:name w:val="footer"/>
    <w:basedOn w:val="1"/>
    <w:link w:val="15"/>
    <w:unhideWhenUsed/>
    <w:qFormat/>
    <w:uiPriority w:val="99"/>
    <w:pPr>
      <w:tabs>
        <w:tab w:val="center" w:pos="4153"/>
        <w:tab w:val="right" w:pos="8306"/>
      </w:tabs>
      <w:snapToGrid w:val="0"/>
      <w:jc w:val="left"/>
    </w:pPr>
    <w:rPr>
      <w:sz w:val="18"/>
      <w:szCs w:val="18"/>
    </w:rPr>
  </w:style>
  <w:style w:type="paragraph" w:styleId="10">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semiHidden/>
    <w:qFormat/>
    <w:uiPriority w:val="0"/>
    <w:pPr>
      <w:snapToGrid w:val="0"/>
      <w:jc w:val="left"/>
    </w:pPr>
    <w:rPr>
      <w:sz w:val="18"/>
      <w:szCs w:val="18"/>
    </w:rPr>
  </w:style>
  <w:style w:type="character" w:customStyle="1" w:styleId="14">
    <w:name w:val="页眉 Char"/>
    <w:basedOn w:val="13"/>
    <w:link w:val="10"/>
    <w:qFormat/>
    <w:uiPriority w:val="99"/>
    <w:rPr>
      <w:sz w:val="18"/>
      <w:szCs w:val="18"/>
    </w:rPr>
  </w:style>
  <w:style w:type="character" w:customStyle="1" w:styleId="15">
    <w:name w:val="页脚 Char"/>
    <w:basedOn w:val="13"/>
    <w:link w:val="9"/>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3"/>
    <w:link w:val="8"/>
    <w:semiHidden/>
    <w:qFormat/>
    <w:uiPriority w:val="99"/>
    <w:rPr>
      <w:sz w:val="18"/>
      <w:szCs w:val="18"/>
    </w:rPr>
  </w:style>
  <w:style w:type="character" w:customStyle="1" w:styleId="19">
    <w:name w:val="font01"/>
    <w:basedOn w:val="13"/>
    <w:qFormat/>
    <w:uiPriority w:val="0"/>
    <w:rPr>
      <w:rFonts w:hint="eastAsia" w:ascii="宋体" w:hAnsi="宋体" w:eastAsia="宋体" w:cs="宋体"/>
      <w:color w:val="000000"/>
      <w:sz w:val="22"/>
      <w:szCs w:val="22"/>
      <w:u w:val="none"/>
    </w:rPr>
  </w:style>
  <w:style w:type="character" w:customStyle="1" w:styleId="20">
    <w:name w:val="font21"/>
    <w:basedOn w:val="13"/>
    <w:qFormat/>
    <w:uiPriority w:val="0"/>
    <w:rPr>
      <w:rFonts w:hint="eastAsia" w:ascii="宋体" w:hAnsi="宋体" w:eastAsia="宋体" w:cs="宋体"/>
      <w:color w:val="000000"/>
      <w:sz w:val="24"/>
      <w:szCs w:val="24"/>
      <w:u w:val="none"/>
    </w:rPr>
  </w:style>
  <w:style w:type="character" w:customStyle="1" w:styleId="21">
    <w:name w:val="font11"/>
    <w:basedOn w:val="13"/>
    <w:qFormat/>
    <w:uiPriority w:val="0"/>
    <w:rPr>
      <w:rFonts w:hint="eastAsia" w:ascii="宋体" w:hAnsi="宋体" w:eastAsia="宋体" w:cs="宋体"/>
      <w:color w:val="000000"/>
      <w:sz w:val="24"/>
      <w:szCs w:val="24"/>
      <w:u w:val="none"/>
    </w:rPr>
  </w:style>
  <w:style w:type="character" w:customStyle="1" w:styleId="22">
    <w:name w:val="标题 3 Char"/>
    <w:link w:val="3"/>
    <w:qFormat/>
    <w:uiPriority w:val="0"/>
    <w:rPr>
      <w:rFonts w:eastAsia="楷体_GB2312"/>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1347</Words>
  <Characters>7679</Characters>
  <Lines>63</Lines>
  <Paragraphs>18</Paragraphs>
  <TotalTime>2</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紫色的山</cp:lastModifiedBy>
  <cp:lastPrinted>2025-09-17T07:46:00Z</cp:lastPrinted>
  <dcterms:modified xsi:type="dcterms:W3CDTF">2025-09-19T02:46:37Z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98623D6660B449428EB8E073C6C952EA</vt:lpwstr>
  </property>
</Properties>
</file>