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99FFA4">
      <w:pPr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附件</w:t>
      </w:r>
      <w:r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  <w:t>4</w:t>
      </w:r>
    </w:p>
    <w:p w14:paraId="7744C019">
      <w:pPr>
        <w:jc w:val="center"/>
        <w:rPr>
          <w:rFonts w:hint="default" w:ascii="Times New Roman" w:hAnsi="Times New Roman" w:eastAsia="方正小标宋_GBK" w:cs="Times New Roman"/>
          <w:sz w:val="52"/>
          <w:szCs w:val="52"/>
          <w:highlight w:val="none"/>
        </w:rPr>
      </w:pPr>
    </w:p>
    <w:p w14:paraId="34C773AC">
      <w:pPr>
        <w:jc w:val="center"/>
        <w:rPr>
          <w:rFonts w:hint="eastAsia" w:ascii="FZXiaoBiaoSong-B05S" w:hAnsi="FZXiaoBiaoSong-B05S" w:eastAsia="FZXiaoBiaoSong-B05S" w:cs="FZXiaoBiaoSong-B05S"/>
          <w:sz w:val="44"/>
          <w:szCs w:val="44"/>
          <w:highlight w:val="none"/>
        </w:rPr>
      </w:pPr>
      <w:r>
        <w:rPr>
          <w:rFonts w:hint="eastAsia" w:ascii="FZXiaoBiaoSong-B05S" w:hAnsi="FZXiaoBiaoSong-B05S" w:eastAsia="FZXiaoBiaoSong-B05S" w:cs="FZXiaoBiaoSong-B05S"/>
          <w:sz w:val="44"/>
          <w:szCs w:val="44"/>
          <w:highlight w:val="none"/>
          <w:lang w:eastAsia="zh-CN"/>
        </w:rPr>
        <w:t>2024</w:t>
      </w:r>
      <w:r>
        <w:rPr>
          <w:rFonts w:hint="eastAsia" w:ascii="FZXiaoBiaoSong-B05S" w:hAnsi="FZXiaoBiaoSong-B05S" w:eastAsia="FZXiaoBiaoSong-B05S" w:cs="FZXiaoBiaoSong-B05S"/>
          <w:sz w:val="44"/>
          <w:szCs w:val="44"/>
          <w:highlight w:val="none"/>
        </w:rPr>
        <w:t>年度</w:t>
      </w:r>
      <w:r>
        <w:rPr>
          <w:rFonts w:hint="eastAsia" w:ascii="FZXiaoBiaoSong-B05S" w:hAnsi="FZXiaoBiaoSong-B05S" w:eastAsia="FZXiaoBiaoSong-B05S" w:cs="FZXiaoBiaoSong-B05S"/>
          <w:sz w:val="44"/>
          <w:szCs w:val="44"/>
          <w:highlight w:val="none"/>
          <w:lang w:val="en-US" w:eastAsia="zh-CN"/>
        </w:rPr>
        <w:t>岳阳市养老和工伤保险服务中心</w:t>
      </w:r>
      <w:r>
        <w:rPr>
          <w:rFonts w:hint="eastAsia" w:ascii="FZXiaoBiaoSong-B05S" w:hAnsi="FZXiaoBiaoSong-B05S" w:eastAsia="FZXiaoBiaoSong-B05S" w:cs="FZXiaoBiaoSong-B05S"/>
          <w:sz w:val="44"/>
          <w:szCs w:val="44"/>
          <w:highlight w:val="none"/>
        </w:rPr>
        <w:t>部门（单位）整体支出</w:t>
      </w:r>
    </w:p>
    <w:p w14:paraId="5F8CA39C">
      <w:pPr>
        <w:jc w:val="center"/>
        <w:rPr>
          <w:rFonts w:hint="eastAsia" w:ascii="FZXiaoBiaoSong-B05S" w:hAnsi="FZXiaoBiaoSong-B05S" w:eastAsia="FZXiaoBiaoSong-B05S" w:cs="FZXiaoBiaoSong-B05S"/>
          <w:sz w:val="44"/>
          <w:szCs w:val="44"/>
          <w:highlight w:val="none"/>
        </w:rPr>
      </w:pPr>
      <w:r>
        <w:rPr>
          <w:rFonts w:hint="eastAsia" w:ascii="FZXiaoBiaoSong-B05S" w:hAnsi="FZXiaoBiaoSong-B05S" w:eastAsia="FZXiaoBiaoSong-B05S" w:cs="FZXiaoBiaoSong-B05S"/>
          <w:sz w:val="44"/>
          <w:szCs w:val="44"/>
          <w:highlight w:val="none"/>
        </w:rPr>
        <w:t>绩效自评报告</w:t>
      </w:r>
    </w:p>
    <w:p w14:paraId="3E2B890D">
      <w:pPr>
        <w:jc w:val="center"/>
        <w:rPr>
          <w:rFonts w:hint="default" w:ascii="Times New Roman" w:hAnsi="Times New Roman" w:eastAsia="方正小标宋_GBK" w:cs="Times New Roman"/>
          <w:b/>
          <w:sz w:val="52"/>
          <w:szCs w:val="52"/>
          <w:highlight w:val="none"/>
        </w:rPr>
      </w:pPr>
    </w:p>
    <w:p w14:paraId="18AC8D6F">
      <w:pPr>
        <w:jc w:val="center"/>
        <w:rPr>
          <w:rFonts w:hint="default" w:ascii="Times New Roman" w:hAnsi="Times New Roman" w:eastAsia="KaiTi_GB2312" w:cs="Times New Roman"/>
          <w:b/>
          <w:sz w:val="32"/>
          <w:szCs w:val="32"/>
          <w:highlight w:val="none"/>
        </w:rPr>
      </w:pPr>
    </w:p>
    <w:p w14:paraId="42F455B5">
      <w:pPr>
        <w:jc w:val="center"/>
        <w:rPr>
          <w:rFonts w:hint="default" w:ascii="Times New Roman" w:hAnsi="Times New Roman" w:eastAsia="KaiTi_GB2312" w:cs="Times New Roman"/>
          <w:b/>
          <w:sz w:val="32"/>
          <w:szCs w:val="32"/>
          <w:highlight w:val="none"/>
        </w:rPr>
      </w:pPr>
    </w:p>
    <w:p w14:paraId="23EB27B0">
      <w:pPr>
        <w:jc w:val="center"/>
        <w:rPr>
          <w:rFonts w:hint="default" w:ascii="Times New Roman" w:hAnsi="Times New Roman" w:eastAsia="KaiTi_GB2312" w:cs="Times New Roman"/>
          <w:b/>
          <w:sz w:val="32"/>
          <w:szCs w:val="32"/>
          <w:highlight w:val="none"/>
        </w:rPr>
      </w:pPr>
    </w:p>
    <w:p w14:paraId="702FC92D">
      <w:pPr>
        <w:jc w:val="center"/>
        <w:rPr>
          <w:rFonts w:hint="default" w:ascii="Times New Roman" w:hAnsi="Times New Roman" w:eastAsia="KaiTi_GB2312" w:cs="Times New Roman"/>
          <w:b/>
          <w:sz w:val="32"/>
          <w:szCs w:val="32"/>
          <w:highlight w:val="none"/>
        </w:rPr>
      </w:pPr>
    </w:p>
    <w:p w14:paraId="409331C6">
      <w:pPr>
        <w:jc w:val="center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</w:p>
    <w:p w14:paraId="401E23D4">
      <w:pPr>
        <w:jc w:val="center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</w:p>
    <w:p w14:paraId="0368E38B">
      <w:pPr>
        <w:jc w:val="center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</w:p>
    <w:p w14:paraId="2F157AFF">
      <w:pPr>
        <w:jc w:val="both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</w:p>
    <w:p w14:paraId="0393B6A2">
      <w:pPr>
        <w:jc w:val="center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</w:p>
    <w:p w14:paraId="5A8EE425">
      <w:pPr>
        <w:jc w:val="center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</w:p>
    <w:p w14:paraId="3CF704E3">
      <w:pPr>
        <w:jc w:val="center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</w:p>
    <w:p w14:paraId="40EFE75D">
      <w:pPr>
        <w:spacing w:line="600" w:lineRule="exact"/>
        <w:jc w:val="center"/>
        <w:rPr>
          <w:rFonts w:hint="default" w:ascii="Times New Roman" w:hAnsi="Times New Roman" w:eastAsia="FangSong_GB2312" w:cs="Times New Roman"/>
          <w:sz w:val="32"/>
          <w:szCs w:val="32"/>
          <w:highlight w:val="none"/>
          <w:u w:val="single"/>
        </w:rPr>
      </w:pPr>
      <w:r>
        <w:rPr>
          <w:rFonts w:hint="default" w:ascii="Times New Roman" w:hAnsi="Times New Roman" w:eastAsia="FangSong_GB2312" w:cs="Times New Roman"/>
          <w:sz w:val="32"/>
          <w:szCs w:val="32"/>
          <w:highlight w:val="none"/>
        </w:rPr>
        <w:t>部门（单位）名称：</w:t>
      </w:r>
      <w:r>
        <w:rPr>
          <w:rFonts w:hint="default" w:ascii="Times New Roman" w:hAnsi="Times New Roman" w:eastAsia="FangSong_GB2312" w:cs="Times New Roman"/>
          <w:sz w:val="32"/>
          <w:szCs w:val="32"/>
          <w:highlight w:val="none"/>
          <w:u w:val="single"/>
        </w:rPr>
        <w:t>（盖章）</w:t>
      </w:r>
    </w:p>
    <w:p w14:paraId="727F51DA">
      <w:pPr>
        <w:spacing w:line="600" w:lineRule="exact"/>
        <w:jc w:val="center"/>
        <w:rPr>
          <w:rFonts w:hint="default" w:ascii="Times New Roman" w:hAnsi="Times New Roman" w:eastAsia="KaiTi_GB2312" w:cs="Times New Roman"/>
          <w:sz w:val="32"/>
          <w:szCs w:val="32"/>
          <w:highlight w:val="none"/>
        </w:rPr>
      </w:pPr>
      <w:r>
        <w:rPr>
          <w:rFonts w:hint="eastAsia" w:ascii="Times New Roman" w:hAnsi="Times New Roman" w:eastAsia="KaiTi_GB2312" w:cs="Times New Roman"/>
          <w:sz w:val="32"/>
          <w:szCs w:val="32"/>
          <w:highlight w:val="none"/>
          <w:lang w:val="en-US" w:eastAsia="zh-CN"/>
        </w:rPr>
        <w:t>2025</w:t>
      </w:r>
      <w:r>
        <w:rPr>
          <w:rFonts w:hint="default" w:ascii="Times New Roman" w:hAnsi="Times New Roman" w:eastAsia="KaiTi_GB2312" w:cs="Times New Roman"/>
          <w:sz w:val="32"/>
          <w:szCs w:val="32"/>
          <w:highlight w:val="none"/>
        </w:rPr>
        <w:t>年</w:t>
      </w:r>
      <w:r>
        <w:rPr>
          <w:rFonts w:hint="eastAsia" w:ascii="Times New Roman" w:hAnsi="Times New Roman" w:eastAsia="KaiTi_GB2312" w:cs="Times New Roman"/>
          <w:sz w:val="32"/>
          <w:szCs w:val="32"/>
          <w:highlight w:val="none"/>
          <w:lang w:val="en-US" w:eastAsia="zh-CN"/>
        </w:rPr>
        <w:t>6</w:t>
      </w:r>
      <w:r>
        <w:rPr>
          <w:rFonts w:hint="default" w:ascii="Times New Roman" w:hAnsi="Times New Roman" w:eastAsia="KaiTi_GB2312" w:cs="Times New Roman"/>
          <w:sz w:val="32"/>
          <w:szCs w:val="32"/>
          <w:highlight w:val="none"/>
        </w:rPr>
        <w:t>月</w:t>
      </w:r>
      <w:r>
        <w:rPr>
          <w:rFonts w:hint="eastAsia" w:ascii="Times New Roman" w:hAnsi="Times New Roman" w:eastAsia="KaiTi_GB2312" w:cs="Times New Roman"/>
          <w:sz w:val="32"/>
          <w:szCs w:val="32"/>
          <w:highlight w:val="none"/>
          <w:lang w:val="en-US" w:eastAsia="zh-CN"/>
        </w:rPr>
        <w:t>27</w:t>
      </w:r>
      <w:bookmarkStart w:id="0" w:name="_GoBack"/>
      <w:bookmarkEnd w:id="0"/>
      <w:r>
        <w:rPr>
          <w:rFonts w:hint="default" w:ascii="Times New Roman" w:hAnsi="Times New Roman" w:eastAsia="KaiTi_GB2312" w:cs="Times New Roman"/>
          <w:sz w:val="32"/>
          <w:szCs w:val="32"/>
          <w:highlight w:val="none"/>
        </w:rPr>
        <w:t>日</w:t>
      </w:r>
    </w:p>
    <w:p w14:paraId="080A50E0">
      <w:pPr>
        <w:jc w:val="center"/>
        <w:rPr>
          <w:rFonts w:hint="eastAsia" w:ascii="FZXiaoBiaoSong-B05S" w:hAnsi="FZXiaoBiaoSong-B05S" w:eastAsia="FZXiaoBiaoSong-B05S" w:cs="FZXiaoBiaoSong-B05S"/>
          <w:sz w:val="44"/>
          <w:szCs w:val="44"/>
          <w:highlight w:val="none"/>
        </w:rPr>
      </w:pPr>
      <w:r>
        <w:rPr>
          <w:rFonts w:hint="default" w:ascii="Times New Roman" w:hAnsi="Times New Roman" w:eastAsia="FangSong_GB2312" w:cs="Times New Roman"/>
          <w:sz w:val="32"/>
          <w:szCs w:val="32"/>
          <w:highlight w:val="none"/>
        </w:rPr>
        <w:t>（此页为封面）</w:t>
      </w:r>
      <w:r>
        <w:rPr>
          <w:rFonts w:hint="default" w:ascii="Times New Roman" w:hAnsi="Times New Roman" w:eastAsia="FangSong_GB2312" w:cs="Times New Roman"/>
          <w:sz w:val="32"/>
          <w:szCs w:val="32"/>
          <w:highlight w:val="none"/>
        </w:rPr>
        <w:br w:type="page"/>
      </w:r>
      <w:r>
        <w:rPr>
          <w:rFonts w:hint="eastAsia" w:ascii="FZXiaoBiaoSong-B05S" w:hAnsi="FZXiaoBiaoSong-B05S" w:eastAsia="FZXiaoBiaoSong-B05S" w:cs="FZXiaoBiaoSong-B05S"/>
          <w:sz w:val="44"/>
          <w:szCs w:val="44"/>
          <w:highlight w:val="none"/>
          <w:lang w:eastAsia="zh-CN"/>
        </w:rPr>
        <w:t>2024</w:t>
      </w:r>
      <w:r>
        <w:rPr>
          <w:rFonts w:hint="eastAsia" w:ascii="FZXiaoBiaoSong-B05S" w:hAnsi="FZXiaoBiaoSong-B05S" w:eastAsia="FZXiaoBiaoSong-B05S" w:cs="FZXiaoBiaoSong-B05S"/>
          <w:sz w:val="44"/>
          <w:szCs w:val="44"/>
          <w:highlight w:val="none"/>
        </w:rPr>
        <w:t>年度</w:t>
      </w:r>
      <w:r>
        <w:rPr>
          <w:rFonts w:hint="eastAsia" w:ascii="FZXiaoBiaoSong-B05S" w:hAnsi="FZXiaoBiaoSong-B05S" w:eastAsia="FZXiaoBiaoSong-B05S" w:cs="FZXiaoBiaoSong-B05S"/>
          <w:sz w:val="44"/>
          <w:szCs w:val="44"/>
          <w:highlight w:val="none"/>
          <w:lang w:val="en-US" w:eastAsia="zh-CN"/>
        </w:rPr>
        <w:t>岳阳市养老和工伤保险服务中心</w:t>
      </w:r>
      <w:r>
        <w:rPr>
          <w:rFonts w:hint="eastAsia" w:ascii="FZXiaoBiaoSong-B05S" w:hAnsi="FZXiaoBiaoSong-B05S" w:eastAsia="FZXiaoBiaoSong-B05S" w:cs="FZXiaoBiaoSong-B05S"/>
          <w:sz w:val="44"/>
          <w:szCs w:val="44"/>
          <w:highlight w:val="none"/>
        </w:rPr>
        <w:t>部门（单位）整体支出</w:t>
      </w:r>
    </w:p>
    <w:p w14:paraId="50377EAF">
      <w:pPr>
        <w:jc w:val="center"/>
        <w:rPr>
          <w:rFonts w:hint="eastAsia" w:ascii="FZXiaoBiaoSong-B05S" w:hAnsi="FZXiaoBiaoSong-B05S" w:eastAsia="FZXiaoBiaoSong-B05S" w:cs="FZXiaoBiaoSong-B05S"/>
          <w:sz w:val="44"/>
          <w:szCs w:val="44"/>
          <w:highlight w:val="none"/>
        </w:rPr>
      </w:pPr>
      <w:r>
        <w:rPr>
          <w:rFonts w:hint="eastAsia" w:ascii="FZXiaoBiaoSong-B05S" w:hAnsi="FZXiaoBiaoSong-B05S" w:eastAsia="FZXiaoBiaoSong-B05S" w:cs="FZXiaoBiaoSong-B05S"/>
          <w:sz w:val="44"/>
          <w:szCs w:val="44"/>
          <w:highlight w:val="none"/>
        </w:rPr>
        <w:t>绩效自评报告</w:t>
      </w:r>
    </w:p>
    <w:p w14:paraId="1EAC179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Times New Roman" w:hAnsi="Times New Roman" w:eastAsia="FangSong_GB2312" w:cs="Times New Roman"/>
          <w:sz w:val="32"/>
          <w:szCs w:val="32"/>
          <w:highlight w:val="none"/>
        </w:rPr>
      </w:pPr>
    </w:p>
    <w:p w14:paraId="680286CE"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黑体" w:cs="Times New Roman"/>
          <w:sz w:val="32"/>
          <w:szCs w:val="32"/>
          <w:highlight w:val="none"/>
        </w:rPr>
        <w:t>部门（单位）基本情况</w:t>
      </w:r>
    </w:p>
    <w:p w14:paraId="0F4F5AC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eastAsia" w:ascii="Times New Roman" w:hAnsi="Times New Roman" w:eastAsia="FangSong_GB2312" w:cs="Times New Roman"/>
          <w:color w:val="000000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FangSong_GB2312" w:cs="Times New Roman"/>
          <w:color w:val="000000"/>
          <w:sz w:val="32"/>
          <w:szCs w:val="32"/>
          <w:highlight w:val="none"/>
        </w:rPr>
        <w:t>岳阳市养老和工伤保险服务中心位于岳阳楼区炮台山路102号，隶属岳阳市人力资源和社会保障局，是专门从事企业养老保险、机关事业单位养老保险、工伤保险经办工作的公益一类副处级财政全额拨款事业单位。现有人员编制</w:t>
      </w:r>
      <w:r>
        <w:rPr>
          <w:rFonts w:hint="eastAsia" w:ascii="Times New Roman" w:hAnsi="Times New Roman" w:eastAsia="FangSong_GB2312" w:cs="Times New Roman"/>
          <w:color w:val="000000"/>
          <w:sz w:val="32"/>
          <w:szCs w:val="32"/>
          <w:highlight w:val="none"/>
          <w:lang w:val="en-US" w:eastAsia="zh-CN"/>
        </w:rPr>
        <w:t>85</w:t>
      </w:r>
      <w:r>
        <w:rPr>
          <w:rFonts w:hint="default" w:ascii="Times New Roman" w:hAnsi="Times New Roman" w:eastAsia="FangSong_GB2312" w:cs="Times New Roman"/>
          <w:color w:val="000000"/>
          <w:sz w:val="32"/>
          <w:szCs w:val="32"/>
          <w:highlight w:val="none"/>
        </w:rPr>
        <w:t>名，下设部室：综合部、参保登记部、企保个人账户部、企保退休待遇部、工伤待遇部、工伤预防部、城居保部、内控稽核部、财务部、机关事保所、离退服务所、工伤事故勘察所、</w:t>
      </w:r>
      <w:r>
        <w:rPr>
          <w:rFonts w:hint="eastAsia" w:ascii="Times New Roman" w:hAnsi="Times New Roman" w:eastAsia="FangSong_GB2312" w:cs="Times New Roman"/>
          <w:color w:val="000000"/>
          <w:sz w:val="32"/>
          <w:szCs w:val="32"/>
          <w:highlight w:val="none"/>
          <w:lang w:val="en-US" w:eastAsia="zh-CN"/>
        </w:rPr>
        <w:t>统计信息部</w:t>
      </w:r>
      <w:r>
        <w:rPr>
          <w:rFonts w:hint="eastAsia" w:ascii="Times New Roman" w:hAnsi="Times New Roman" w:eastAsia="FangSong_GB2312" w:cs="Times New Roman"/>
          <w:color w:val="000000"/>
          <w:sz w:val="32"/>
          <w:szCs w:val="32"/>
          <w:highlight w:val="none"/>
          <w:lang w:eastAsia="zh-CN"/>
        </w:rPr>
        <w:t>。</w:t>
      </w:r>
    </w:p>
    <w:p w14:paraId="7B6D9630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黑体" w:cs="Times New Roman"/>
          <w:sz w:val="32"/>
          <w:szCs w:val="32"/>
          <w:highlight w:val="none"/>
        </w:rPr>
        <w:t>二、一般公共预算支出情况</w:t>
      </w:r>
    </w:p>
    <w:p w14:paraId="7E1EF725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3" w:firstLineChars="200"/>
        <w:jc w:val="both"/>
        <w:textAlignment w:val="auto"/>
        <w:rPr>
          <w:rFonts w:hint="default" w:ascii="Times New Roman" w:hAnsi="Times New Roman" w:eastAsia="KaiTi_GB2312" w:cs="Times New Roman"/>
          <w:b/>
          <w:sz w:val="32"/>
          <w:szCs w:val="32"/>
          <w:highlight w:val="none"/>
        </w:rPr>
      </w:pPr>
      <w:r>
        <w:rPr>
          <w:rFonts w:hint="default" w:ascii="Times New Roman" w:hAnsi="Times New Roman" w:eastAsia="KaiTi_GB2312" w:cs="Times New Roman"/>
          <w:b/>
          <w:sz w:val="32"/>
          <w:szCs w:val="32"/>
          <w:highlight w:val="none"/>
        </w:rPr>
        <w:t>（一）基本支出情况</w:t>
      </w:r>
    </w:p>
    <w:p w14:paraId="542CB93E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eastAsia" w:ascii="Times New Roman" w:hAnsi="Times New Roman" w:eastAsia="FangSong_GB2312" w:cs="Times New Roman"/>
          <w:color w:val="000000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Times New Roman" w:hAnsi="Times New Roman" w:eastAsia="FangSong_GB2312" w:cs="Times New Roman"/>
          <w:color w:val="000000"/>
          <w:kern w:val="0"/>
          <w:sz w:val="32"/>
          <w:szCs w:val="32"/>
          <w:highlight w:val="none"/>
          <w:lang w:val="en-US" w:eastAsia="zh-CN" w:bidi="ar-SA"/>
        </w:rPr>
        <w:t>2024年基本支出为1409.73万元，其中：人员经费1271.40万元、日常公用经费138.33万元。</w:t>
      </w:r>
    </w:p>
    <w:p w14:paraId="077320AC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Times New Roman" w:hAnsi="Times New Roman" w:eastAsia="FangSong_GB2312" w:cs="Times New Roman"/>
          <w:color w:val="000000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Times New Roman" w:hAnsi="Times New Roman" w:eastAsia="FangSong_GB2312" w:cs="Times New Roman"/>
          <w:color w:val="000000"/>
          <w:kern w:val="0"/>
          <w:sz w:val="32"/>
          <w:szCs w:val="32"/>
          <w:highlight w:val="none"/>
          <w:lang w:val="en-US" w:eastAsia="zh-CN" w:bidi="ar-SA"/>
        </w:rPr>
        <w:t>三公经费使用情况：三公经费合计使用0.51万元，全部为公务接待费，接待费实际开支占年初预算的51%。2024年“三公”经费支出决算数小于预算数的主要原因是认真贯彻落实中央“八项规定”精神和厉行节约要求，进一步从严控制“三公”经费开支，全年实际支出与预算有所节约。</w:t>
      </w:r>
    </w:p>
    <w:p w14:paraId="34126674">
      <w:pPr>
        <w:pStyle w:val="4"/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3" w:firstLineChars="200"/>
        <w:jc w:val="both"/>
        <w:textAlignment w:val="auto"/>
        <w:rPr>
          <w:rFonts w:hint="default" w:ascii="Times New Roman" w:hAnsi="Times New Roman" w:eastAsia="KaiTi_GB2312" w:cs="Times New Roman"/>
          <w:b/>
          <w:sz w:val="32"/>
          <w:szCs w:val="32"/>
          <w:highlight w:val="none"/>
        </w:rPr>
      </w:pPr>
      <w:r>
        <w:rPr>
          <w:rFonts w:hint="default" w:ascii="Times New Roman" w:hAnsi="Times New Roman" w:eastAsia="KaiTi_GB2312" w:cs="Times New Roman"/>
          <w:b/>
          <w:sz w:val="32"/>
          <w:szCs w:val="32"/>
          <w:highlight w:val="none"/>
        </w:rPr>
        <w:t>项目支出情况</w:t>
      </w:r>
    </w:p>
    <w:p w14:paraId="261EE690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Times New Roman" w:hAnsi="Times New Roman" w:eastAsia="FangSong_GB2312" w:cs="Times New Roman"/>
          <w:color w:val="000000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default" w:ascii="Times New Roman" w:hAnsi="Times New Roman" w:eastAsia="FangSong_GB2312" w:cs="Times New Roman"/>
          <w:color w:val="000000"/>
          <w:kern w:val="0"/>
          <w:sz w:val="32"/>
          <w:szCs w:val="32"/>
          <w:highlight w:val="none"/>
          <w:lang w:val="en-US" w:eastAsia="zh-CN" w:bidi="ar-SA"/>
        </w:rPr>
        <w:t>本单位</w:t>
      </w:r>
      <w:r>
        <w:rPr>
          <w:rFonts w:hint="eastAsia" w:ascii="Times New Roman" w:hAnsi="Times New Roman" w:eastAsia="FangSong_GB2312" w:cs="Times New Roman"/>
          <w:color w:val="000000"/>
          <w:kern w:val="0"/>
          <w:sz w:val="32"/>
          <w:szCs w:val="32"/>
          <w:highlight w:val="none"/>
          <w:lang w:val="en-US" w:eastAsia="zh-CN" w:bidi="ar-SA"/>
        </w:rPr>
        <w:t>2024</w:t>
      </w:r>
      <w:r>
        <w:rPr>
          <w:rFonts w:hint="default" w:ascii="Times New Roman" w:hAnsi="Times New Roman" w:eastAsia="FangSong_GB2312" w:cs="Times New Roman"/>
          <w:color w:val="000000"/>
          <w:kern w:val="0"/>
          <w:sz w:val="32"/>
          <w:szCs w:val="32"/>
          <w:highlight w:val="none"/>
          <w:lang w:val="en-US" w:eastAsia="zh-CN" w:bidi="ar-SA"/>
        </w:rPr>
        <w:t>年</w:t>
      </w:r>
      <w:r>
        <w:rPr>
          <w:rFonts w:hint="eastAsia" w:ascii="Times New Roman" w:hAnsi="Times New Roman" w:eastAsia="FangSong_GB2312" w:cs="Times New Roman"/>
          <w:color w:val="000000"/>
          <w:kern w:val="0"/>
          <w:sz w:val="32"/>
          <w:szCs w:val="32"/>
          <w:highlight w:val="none"/>
          <w:lang w:val="en-US" w:eastAsia="zh-CN" w:bidi="ar-SA"/>
        </w:rPr>
        <w:t>项目支出为139.94万元，其中一般公共预算财政拨款66.51万元，国有资本经营预算财政拨款73.43万元。</w:t>
      </w:r>
    </w:p>
    <w:p w14:paraId="17093431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both"/>
        <w:textAlignment w:val="auto"/>
        <w:rPr>
          <w:rFonts w:hint="default" w:ascii="Times New Roman" w:hAnsi="Times New Roman" w:eastAsia="黑体" w:cs="Times New Roman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黑体" w:cs="Times New Roman"/>
          <w:sz w:val="32"/>
          <w:szCs w:val="32"/>
          <w:highlight w:val="none"/>
          <w:lang w:val="en-US" w:eastAsia="zh-CN"/>
        </w:rPr>
        <w:t xml:space="preserve">    三、政府性基金预算支出情况</w:t>
      </w:r>
    </w:p>
    <w:p w14:paraId="6D7B47A8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Times New Roman" w:hAnsi="Times New Roman" w:eastAsia="FangSong_GB2312" w:cs="Times New Roman"/>
          <w:color w:val="000000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default" w:ascii="Times New Roman" w:hAnsi="Times New Roman" w:eastAsia="FangSong_GB2312" w:cs="Times New Roman"/>
          <w:color w:val="000000"/>
          <w:kern w:val="0"/>
          <w:sz w:val="32"/>
          <w:szCs w:val="32"/>
          <w:highlight w:val="none"/>
          <w:lang w:val="en-US" w:eastAsia="zh-CN" w:bidi="ar-SA"/>
        </w:rPr>
        <w:t>本单位</w:t>
      </w:r>
      <w:r>
        <w:rPr>
          <w:rFonts w:hint="eastAsia" w:ascii="Times New Roman" w:hAnsi="Times New Roman" w:eastAsia="FangSong_GB2312" w:cs="Times New Roman"/>
          <w:color w:val="000000"/>
          <w:kern w:val="0"/>
          <w:sz w:val="32"/>
          <w:szCs w:val="32"/>
          <w:highlight w:val="none"/>
          <w:lang w:val="en-US" w:eastAsia="zh-CN" w:bidi="ar-SA"/>
        </w:rPr>
        <w:t>2024</w:t>
      </w:r>
      <w:r>
        <w:rPr>
          <w:rFonts w:hint="default" w:ascii="Times New Roman" w:hAnsi="Times New Roman" w:eastAsia="FangSong_GB2312" w:cs="Times New Roman"/>
          <w:color w:val="000000"/>
          <w:kern w:val="0"/>
          <w:sz w:val="32"/>
          <w:szCs w:val="32"/>
          <w:highlight w:val="none"/>
          <w:lang w:val="en-US" w:eastAsia="zh-CN" w:bidi="ar-SA"/>
        </w:rPr>
        <w:t>年度无政府性基金预算支出。</w:t>
      </w:r>
    </w:p>
    <w:p w14:paraId="750DBE1E">
      <w:pPr>
        <w:pStyle w:val="4"/>
        <w:keepNext w:val="0"/>
        <w:keepLines w:val="0"/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黑体" w:cs="Times New Roman"/>
          <w:sz w:val="32"/>
          <w:szCs w:val="32"/>
          <w:highlight w:val="none"/>
        </w:rPr>
        <w:t>国有资本经营预算支出情况</w:t>
      </w:r>
    </w:p>
    <w:p w14:paraId="4FEAF530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both"/>
        <w:textAlignment w:val="auto"/>
        <w:rPr>
          <w:rFonts w:hint="default" w:ascii="Times New Roman" w:hAnsi="Times New Roman" w:eastAsia="FangSong_GB2312" w:cs="Times New Roman"/>
          <w:color w:val="000000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Times New Roman" w:hAnsi="Times New Roman" w:eastAsia="黑体" w:cs="Times New Roman"/>
          <w:sz w:val="32"/>
          <w:szCs w:val="32"/>
          <w:highlight w:val="none"/>
          <w:lang w:val="en-US" w:eastAsia="zh-CN"/>
        </w:rPr>
        <w:t xml:space="preserve">   </w:t>
      </w:r>
      <w:r>
        <w:rPr>
          <w:rFonts w:hint="eastAsia" w:ascii="Times New Roman" w:hAnsi="Times New Roman" w:eastAsia="FangSong_GB2312" w:cs="Times New Roman"/>
          <w:color w:val="000000"/>
          <w:kern w:val="0"/>
          <w:sz w:val="32"/>
          <w:szCs w:val="32"/>
          <w:highlight w:val="none"/>
          <w:lang w:val="en-US" w:eastAsia="zh-CN" w:bidi="ar-SA"/>
        </w:rPr>
        <w:t>2024年国有资本经营预算支出为73.43万元，为国有企业退休人员社会化管理补助支出，均为项目支出，该项目为非基建项目，用于市本级国有企业退休职工社会化管理服务、短信服务、政策宣传、上门资格认证服务等开支。具体为：办公费10.73万元、印刷费12.32万元、劳务费26.80万元、其他商品和服务支出20.03万元、生活补助3.55万元</w:t>
      </w:r>
      <w:r>
        <w:rPr>
          <w:rFonts w:hint="default" w:ascii="Times New Roman" w:hAnsi="Times New Roman" w:eastAsia="黑体" w:cs="Times New Roman"/>
          <w:sz w:val="32"/>
          <w:szCs w:val="32"/>
          <w:highlight w:val="none"/>
          <w:lang w:val="en-US" w:eastAsia="zh-CN"/>
        </w:rPr>
        <w:t>。</w:t>
      </w:r>
    </w:p>
    <w:p w14:paraId="7B05EEBE">
      <w:pPr>
        <w:pStyle w:val="4"/>
        <w:keepNext w:val="0"/>
        <w:keepLines w:val="0"/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0" w:leftChars="0" w:firstLine="640" w:firstLineChars="200"/>
        <w:jc w:val="both"/>
        <w:textAlignment w:val="auto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黑体" w:cs="Times New Roman"/>
          <w:sz w:val="32"/>
          <w:szCs w:val="32"/>
          <w:highlight w:val="none"/>
        </w:rPr>
        <w:t>社会保险基金预算支出情况</w:t>
      </w:r>
    </w:p>
    <w:p w14:paraId="093E0150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Times New Roman" w:hAnsi="Times New Roman" w:eastAsia="黑体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FangSong_GB2312" w:cs="Times New Roman"/>
          <w:color w:val="000000"/>
          <w:kern w:val="0"/>
          <w:sz w:val="32"/>
          <w:szCs w:val="32"/>
          <w:highlight w:val="none"/>
          <w:lang w:val="en-US" w:eastAsia="zh-CN" w:bidi="ar-SA"/>
        </w:rPr>
        <w:t>本单位</w:t>
      </w:r>
      <w:r>
        <w:rPr>
          <w:rFonts w:hint="eastAsia" w:ascii="Times New Roman" w:hAnsi="Times New Roman" w:eastAsia="FangSong_GB2312" w:cs="Times New Roman"/>
          <w:color w:val="000000"/>
          <w:kern w:val="0"/>
          <w:sz w:val="32"/>
          <w:szCs w:val="32"/>
          <w:highlight w:val="none"/>
          <w:lang w:val="en-US" w:eastAsia="zh-CN" w:bidi="ar-SA"/>
        </w:rPr>
        <w:t>2024</w:t>
      </w:r>
      <w:r>
        <w:rPr>
          <w:rFonts w:hint="default" w:ascii="Times New Roman" w:hAnsi="Times New Roman" w:eastAsia="FangSong_GB2312" w:cs="Times New Roman"/>
          <w:color w:val="000000"/>
          <w:kern w:val="0"/>
          <w:sz w:val="32"/>
          <w:szCs w:val="32"/>
          <w:highlight w:val="none"/>
          <w:lang w:val="en-US" w:eastAsia="zh-CN" w:bidi="ar-SA"/>
        </w:rPr>
        <w:t>年度在经费账套内无社会保险基金预算支出，社会保险基金设有独立账套核算，单独进行了绩效评价</w:t>
      </w:r>
      <w:r>
        <w:rPr>
          <w:rFonts w:hint="default" w:ascii="Times New Roman" w:hAnsi="Times New Roman" w:eastAsia="黑体" w:cs="Times New Roman"/>
          <w:sz w:val="32"/>
          <w:szCs w:val="32"/>
          <w:highlight w:val="none"/>
          <w:lang w:val="en-US" w:eastAsia="zh-CN"/>
        </w:rPr>
        <w:t>。</w:t>
      </w:r>
    </w:p>
    <w:p w14:paraId="4174F9C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黑体" w:cs="Times New Roman"/>
          <w:sz w:val="32"/>
          <w:szCs w:val="32"/>
          <w:highlight w:val="none"/>
        </w:rPr>
        <w:t>六、部门整体支出绩效情况</w:t>
      </w:r>
    </w:p>
    <w:p w14:paraId="42546F67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Times New Roman" w:hAnsi="Times New Roman" w:eastAsia="FangSong_GB2312" w:cs="Times New Roman"/>
          <w:color w:val="000000"/>
          <w:sz w:val="32"/>
          <w:szCs w:val="32"/>
          <w:highlight w:val="none"/>
        </w:rPr>
      </w:pPr>
      <w:r>
        <w:rPr>
          <w:rFonts w:hint="default" w:ascii="Times New Roman" w:hAnsi="Times New Roman" w:eastAsia="FangSong_GB2312" w:cs="Times New Roman"/>
          <w:color w:val="000000"/>
          <w:sz w:val="32"/>
          <w:szCs w:val="32"/>
          <w:highlight w:val="none"/>
        </w:rPr>
        <w:t>1、预算配置方面：财政供养人员控制在预算编制内。</w:t>
      </w:r>
    </w:p>
    <w:p w14:paraId="67E701AA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Times New Roman" w:hAnsi="Times New Roman" w:eastAsia="FangSong_GB2312" w:cs="Times New Roman"/>
          <w:color w:val="000000"/>
          <w:sz w:val="32"/>
          <w:szCs w:val="32"/>
          <w:highlight w:val="none"/>
        </w:rPr>
      </w:pPr>
      <w:r>
        <w:rPr>
          <w:rFonts w:hint="default" w:ascii="Times New Roman" w:hAnsi="Times New Roman" w:eastAsia="FangSong_GB2312" w:cs="Times New Roman"/>
          <w:color w:val="000000"/>
          <w:sz w:val="32"/>
          <w:szCs w:val="32"/>
          <w:highlight w:val="none"/>
        </w:rPr>
        <w:t>2、预算管理方面：本着厉行节俭、只减不增的原则，严格执行“三公经费”标准和审批制度与程序，公用经费、“三公经费”都得到了有效控制。</w:t>
      </w:r>
    </w:p>
    <w:p w14:paraId="258B024E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Times New Roman" w:hAnsi="Times New Roman" w:eastAsia="FangSong_GB2312" w:cs="Times New Roman"/>
          <w:color w:val="000000"/>
          <w:sz w:val="32"/>
          <w:szCs w:val="32"/>
          <w:highlight w:val="none"/>
        </w:rPr>
      </w:pPr>
      <w:r>
        <w:rPr>
          <w:rFonts w:hint="default" w:ascii="Times New Roman" w:hAnsi="Times New Roman" w:eastAsia="FangSong_GB2312" w:cs="Times New Roman"/>
          <w:color w:val="000000"/>
          <w:sz w:val="32"/>
          <w:szCs w:val="32"/>
          <w:highlight w:val="none"/>
        </w:rPr>
        <w:t>3、资产管理方面：健全内部控制制度，资产配置合理。对需要经过政府采购的项目均进行了政府采购，制度执行总体有效。</w:t>
      </w:r>
    </w:p>
    <w:p w14:paraId="296C3C8F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Times New Roman" w:hAnsi="Times New Roman" w:eastAsia="FangSong_GB2312" w:cs="Times New Roman"/>
          <w:color w:val="000000"/>
          <w:sz w:val="32"/>
          <w:szCs w:val="32"/>
          <w:highlight w:val="none"/>
        </w:rPr>
      </w:pPr>
      <w:r>
        <w:rPr>
          <w:rFonts w:hint="default" w:ascii="Times New Roman" w:hAnsi="Times New Roman" w:eastAsia="FangSong_GB2312" w:cs="Times New Roman"/>
          <w:color w:val="000000"/>
          <w:sz w:val="32"/>
          <w:szCs w:val="32"/>
          <w:highlight w:val="none"/>
        </w:rPr>
        <w:t>4、职责履行方面：较好的完成了市本级企业职工基本养老保险、机关事业单位养老保险、工伤保险经办管理工作，切实大力宣传各种政策制度，优化服务，社会效益良好，社会公众满意度高。</w:t>
      </w:r>
    </w:p>
    <w:p w14:paraId="6D90C098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黑体" w:cs="Times New Roman"/>
          <w:sz w:val="32"/>
          <w:szCs w:val="32"/>
          <w:highlight w:val="none"/>
        </w:rPr>
        <w:t>七、存在的问题及原因分析</w:t>
      </w:r>
    </w:p>
    <w:p w14:paraId="0F37B68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Times New Roman" w:hAnsi="Times New Roman" w:eastAsia="FangSong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FangSong_GB2312" w:cs="Times New Roman"/>
          <w:sz w:val="32"/>
          <w:szCs w:val="32"/>
          <w:highlight w:val="none"/>
        </w:rPr>
        <w:t>认真对照市委市政府和局党组的要求，当前工作还存在着一定困难与问题，一是养老保险参保扩面和提高缴费率有一定难度。养老保险已基本实现全覆盖，目前未参保人员较少，加之养老保险缴费额逐年提高，参保人员存在一定的缴费负担，参保扩面与提高缴费率工作还需进一步攻坚克难。二是追缴违规领取社保基金有一定难度。由于目前暂未实现与公安、民政等部门的实时数据共享，只能通过人社部或省人社厅下发预警信息且信息预警准确度不高，仅靠人社部门追缴手段有限。</w:t>
      </w:r>
    </w:p>
    <w:p w14:paraId="32AA4FE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Times New Roman" w:hAnsi="Times New Roman" w:eastAsia="FangSong_GB2312" w:cs="Times New Roman"/>
          <w:sz w:val="32"/>
          <w:szCs w:val="32"/>
          <w:highlight w:val="none"/>
        </w:rPr>
      </w:pPr>
    </w:p>
    <w:p w14:paraId="5F009F53">
      <w:pPr>
        <w:keepNext w:val="0"/>
        <w:keepLines w:val="0"/>
        <w:pageBreakBefore w:val="0"/>
        <w:widowControl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黑体" w:cs="Times New Roman"/>
          <w:sz w:val="32"/>
          <w:szCs w:val="32"/>
          <w:highlight w:val="none"/>
        </w:rPr>
        <w:t>下一步改进措施</w:t>
      </w:r>
    </w:p>
    <w:p w14:paraId="300C5BB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Times New Roman" w:hAnsi="Times New Roman" w:eastAsia="FangSong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FangSong_GB2312" w:cs="Times New Roman"/>
          <w:sz w:val="32"/>
          <w:szCs w:val="32"/>
          <w:highlight w:val="none"/>
        </w:rPr>
        <w:t>（一）坚持党建引领。把党的政治建设摆在首位，把旗帜鲜明讲政治贯穿于经办工作的全过程、各方面，守好意识形态工作主阵地。推进全面从严治党，深化党风廉政建设和“三型四有”、作风建设主题活动，加强作风建设，夯实全市养老和工伤保险系统干部职工真抓实干的工作作风。</w:t>
      </w:r>
    </w:p>
    <w:p w14:paraId="379E8B9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Times New Roman" w:hAnsi="Times New Roman" w:eastAsia="FangSong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FangSong_GB2312" w:cs="Times New Roman"/>
          <w:sz w:val="32"/>
          <w:szCs w:val="32"/>
          <w:highlight w:val="none"/>
        </w:rPr>
        <w:t>（二）提升社会保障。继续落实企业职工养老保险全国统筹和工伤保险省级统筹。聚焦“温暖社保”行动计划，加大全面参保专项行动力度。推行社保服务“一窗办”“暖心办”“延伸办”，推进便民服务，实现经办能力全面提升。深入开展“四进四送”集中宣传活动，提升宣传效果。</w:t>
      </w:r>
    </w:p>
    <w:p w14:paraId="711B2A7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Times New Roman" w:hAnsi="Times New Roman" w:eastAsia="FangSong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FangSong_GB2312" w:cs="Times New Roman"/>
          <w:sz w:val="32"/>
          <w:szCs w:val="32"/>
          <w:highlight w:val="none"/>
        </w:rPr>
        <w:t>（三）维护基金安全。加强部稽核考核系统、省社保中心、基金监管预警系统等渠道下发的疑点数据的分发和核查，加强部门联动,以“零容忍”态度严厉打击、严肃查处违规骗取社会保险待遇违法违纪行为。</w:t>
      </w:r>
    </w:p>
    <w:p w14:paraId="74EDD69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Times New Roman" w:hAnsi="Times New Roman" w:eastAsia="FangSong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FangSong_GB2312" w:cs="Times New Roman"/>
          <w:sz w:val="32"/>
          <w:szCs w:val="32"/>
          <w:highlight w:val="none"/>
        </w:rPr>
        <w:t>（四）突出创先争优。强化绩效考核和真抓实干督查激励考核，严格落实考核机制，全面完成省委省政府、市委市政府以及省、市人社部门下达的目标任务，推动我市社会保障事业高质量、可持续发展。</w:t>
      </w:r>
    </w:p>
    <w:p w14:paraId="5C84E2A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Times New Roman" w:hAnsi="Times New Roman" w:eastAsia="FangSong_GB2312" w:cs="Times New Roman"/>
          <w:sz w:val="32"/>
          <w:szCs w:val="32"/>
          <w:highlight w:val="none"/>
        </w:rPr>
      </w:pPr>
    </w:p>
    <w:p w14:paraId="0114003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Times New Roman" w:hAnsi="Times New Roman" w:eastAsia="FangSong_GB2312" w:cs="Times New Roman"/>
          <w:sz w:val="32"/>
          <w:szCs w:val="32"/>
          <w:highlight w:val="none"/>
        </w:rPr>
      </w:pPr>
    </w:p>
    <w:p w14:paraId="5964099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黑体" w:cs="Times New Roman"/>
          <w:sz w:val="32"/>
          <w:szCs w:val="32"/>
          <w:highlight w:val="none"/>
        </w:rPr>
        <w:t>九、部门整体支出绩效自评结果拟应用和公开情况</w:t>
      </w:r>
    </w:p>
    <w:p w14:paraId="7F3599D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Times New Roman" w:hAnsi="Times New Roman" w:eastAsia="FangSong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FangSong_GB2312" w:cs="Times New Roman"/>
          <w:sz w:val="32"/>
          <w:szCs w:val="32"/>
          <w:highlight w:val="none"/>
        </w:rPr>
        <w:t>本单位部门整体支出绩效自评报告已在本单位门户网站公开。</w:t>
      </w:r>
    </w:p>
    <w:p w14:paraId="1F209E29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Chars="200"/>
        <w:jc w:val="both"/>
        <w:textAlignment w:val="auto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  <w:r>
        <w:rPr>
          <w:rFonts w:hint="eastAsia" w:ascii="Times New Roman" w:hAnsi="Times New Roman" w:eastAsia="黑体" w:cs="Times New Roman"/>
          <w:sz w:val="32"/>
          <w:szCs w:val="32"/>
          <w:highlight w:val="none"/>
          <w:lang w:val="en-US" w:eastAsia="zh-CN"/>
        </w:rPr>
        <w:t>十、</w:t>
      </w:r>
      <w:r>
        <w:rPr>
          <w:rFonts w:hint="default" w:ascii="Times New Roman" w:hAnsi="Times New Roman" w:eastAsia="黑体" w:cs="Times New Roman"/>
          <w:sz w:val="32"/>
          <w:szCs w:val="32"/>
          <w:highlight w:val="none"/>
        </w:rPr>
        <w:t>其他需要说明的情况</w:t>
      </w:r>
    </w:p>
    <w:p w14:paraId="13F9195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eastAsia" w:ascii="Times New Roman" w:hAnsi="Times New Roman" w:eastAsia="FangSong_GB2312" w:cs="Times New Roman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FangSong_GB2312" w:cs="Times New Roman"/>
          <w:sz w:val="32"/>
          <w:szCs w:val="32"/>
          <w:highlight w:val="none"/>
          <w:lang w:val="en-US" w:eastAsia="zh-CN"/>
        </w:rPr>
        <w:t>无。</w:t>
      </w:r>
    </w:p>
    <w:p w14:paraId="2E6C9E5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altName w:val="微软雅黑"/>
    <w:panose1 w:val="02000000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FZXiaoBiaoSong-B05S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KaiTi_GB2312">
    <w:altName w:val="宋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FangSong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553C349"/>
    <w:multiLevelType w:val="singleLevel"/>
    <w:tmpl w:val="9553C349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3674F6A9"/>
    <w:multiLevelType w:val="singleLevel"/>
    <w:tmpl w:val="3674F6A9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5F067417"/>
    <w:multiLevelType w:val="singleLevel"/>
    <w:tmpl w:val="5F067417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7465031E"/>
    <w:multiLevelType w:val="singleLevel"/>
    <w:tmpl w:val="7465031E"/>
    <w:lvl w:ilvl="0" w:tentative="0">
      <w:start w:val="8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8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CC463BE"/>
    <w:rsid w:val="00501EE6"/>
    <w:rsid w:val="06B156A8"/>
    <w:rsid w:val="0A1B17B6"/>
    <w:rsid w:val="0BAC78DB"/>
    <w:rsid w:val="0C12272B"/>
    <w:rsid w:val="2F5C1DA5"/>
    <w:rsid w:val="2FA06136"/>
    <w:rsid w:val="31B77767"/>
    <w:rsid w:val="359A3628"/>
    <w:rsid w:val="466B7502"/>
    <w:rsid w:val="49CB13F2"/>
    <w:rsid w:val="4C0A12CF"/>
    <w:rsid w:val="5A753B98"/>
    <w:rsid w:val="67024A05"/>
    <w:rsid w:val="6B0625EA"/>
    <w:rsid w:val="6C3B62C3"/>
    <w:rsid w:val="7CC46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" w:hAnsi="仿宋" w:eastAsia="宋体" w:cs="Times New Roman"/>
      <w:kern w:val="0"/>
      <w:sz w:val="28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99"/>
    <w:pPr>
      <w:ind w:firstLine="420" w:firstLineChars="200"/>
    </w:pPr>
    <w:rPr>
      <w:rFonts w:ascii="Calibri" w:hAnsi="Calibr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1734</Words>
  <Characters>1824</Characters>
  <Lines>0</Lines>
  <Paragraphs>0</Paragraphs>
  <TotalTime>460</TotalTime>
  <ScaleCrop>false</ScaleCrop>
  <LinksUpToDate>false</LinksUpToDate>
  <CharactersWithSpaces>1835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2025-06-23T09:39:00Z</dcterms:created>
  <dc:creator>.</dc:creator>
  <cp:lastModifiedBy>.</cp:lastModifiedBy>
  <cp:lastPrinted>2025-06-27T08:10:52Z</cp:lastPrinted>
  <dcterms:modified xsi:type="dcterms:W3CDTF">2025-06-27T08:43:29Z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1C31B7CE8BFC4BE7AA4DF745F88F58E4_11</vt:lpwstr>
  </property>
  <property fmtid="{D5CDD505-2E9C-101B-9397-08002B2CF9AE}" pid="4" name="KSOTemplateDocerSaveRecord">
    <vt:lpwstr>eyJoZGlkIjoiMTg0ZDQ4ZDc1NTM3Zjc0NmEzYjUzNjM5MDc2NjBjMWIiLCJ1c2VySWQiOiI2ODA2MTI2MTEifQ==</vt:lpwstr>
  </property>
</Properties>
</file>