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B2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 w14:paraId="47E027EE">
      <w:pPr>
        <w:spacing w:before="120" w:beforeLines="50" w:after="120" w:afterLines="5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3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 w14:paraId="483C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BAD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85B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E25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E78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 w14:paraId="2D3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2D37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 w14:paraId="6491FBB2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14047AB0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3D2F2F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 w14:paraId="63E026B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B07F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 w14:paraId="63F6D8AC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D412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 w14:paraId="059B8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29F2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453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 w14:paraId="7673BA3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5525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F9C7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 w14:paraId="1DE6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D17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 w14:paraId="296E600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317CB2D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7F6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 w14:paraId="17BE4B6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90A6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0CC9">
            <w:pPr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 w14:paraId="356D2A46">
            <w:pPr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 w14:paraId="473C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F84B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80F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 w14:paraId="50348D8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B6C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 w14:paraId="6E92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A1E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 w14:paraId="7B6DCA9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3D33985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257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 w14:paraId="0E4D47A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910C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 w14:paraId="193C3F3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 w14:paraId="2F5A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3A54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BE57E6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 w14:paraId="4152893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 w14:paraId="5E069E32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FCA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 w14:paraId="1B02A394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 w14:paraId="2452A07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 w14:paraId="6AB1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0F6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9479">
            <w:pPr>
              <w:spacing w:line="6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highlight w:val="none"/>
              </w:rPr>
            </w:pPr>
          </w:p>
          <w:p w14:paraId="632C5F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 w14:paraId="78869F8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 w14:paraId="590E932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47D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 w14:paraId="0B69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B788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5C1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 w14:paraId="0E17FEB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52C8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 w14:paraId="0986B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5F9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8D9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6E31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 w14:paraId="717F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F1192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2025-07-18T01:25:33Z</dcterms:created>
  <dc:creator>ZGJCW</dc:creator>
  <cp:lastModifiedBy>十年</cp:lastModifiedBy>
  <dcterms:modified xsi:type="dcterms:W3CDTF">2025-07-18T01:25:37Z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eyJoZGlkIjoiNjI5YWYyNGEzMzA2M2JkNGUwN2U2NzE3ODYyMTM1NDciLCJ1c2VySWQiOiI0ODQyNDQ5ODgifQ==</vt:lpwstr>
  </property>
  <property fmtid="{D5CDD505-2E9C-101B-9397-08002B2CF9AE}" pid="4" name="ICV">
    <vt:lpwstr>A24E1BB1557C492B899CF16FD7F6BBC3_12</vt:lpwstr>
  </property>
</Properties>
</file>