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57BEF">
      <w:pPr>
        <w:jc w:val="center"/>
        <w:rPr>
          <w:rFonts w:hint="default" w:ascii="Times New Roman" w:hAnsi="Times New Roman" w:eastAsia="方正小标宋_GBK" w:cs="Times New Roman"/>
          <w:sz w:val="52"/>
          <w:szCs w:val="52"/>
          <w:highlight w:val="none"/>
        </w:rPr>
      </w:pPr>
    </w:p>
    <w:p w14:paraId="77846F96">
      <w:pPr>
        <w:jc w:val="center"/>
        <w:rPr>
          <w:rFonts w:hint="default" w:ascii="Times New Roman" w:hAnsi="Times New Roman" w:eastAsia="方正小标宋_GBK" w:cs="Times New Roman"/>
          <w:sz w:val="52"/>
          <w:szCs w:val="52"/>
          <w:highlight w:val="none"/>
        </w:rPr>
      </w:pPr>
    </w:p>
    <w:p w14:paraId="7D4B854F">
      <w:pPr>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岳阳市检验检测中心</w:t>
      </w:r>
    </w:p>
    <w:p w14:paraId="4B3EB5A3">
      <w:pPr>
        <w:jc w:val="center"/>
        <w:rPr>
          <w:rFonts w:hint="eastAsia" w:ascii="方正小标宋简体" w:hAnsi="方正小标宋简体" w:eastAsia="方正小标宋简体" w:cs="方正小标宋简体"/>
          <w:sz w:val="44"/>
          <w:szCs w:val="44"/>
          <w:highlight w:val="none"/>
        </w:rPr>
      </w:pPr>
      <w:bookmarkStart w:id="0" w:name="_GoBack"/>
      <w:bookmarkEnd w:id="0"/>
      <w:r>
        <w:rPr>
          <w:rFonts w:hint="eastAsia" w:ascii="方正小标宋简体" w:hAnsi="方正小标宋简体" w:eastAsia="方正小标宋简体" w:cs="方正小标宋简体"/>
          <w:sz w:val="44"/>
          <w:szCs w:val="44"/>
          <w:highlight w:val="none"/>
        </w:rPr>
        <w:t>整体支出绩效自评报告</w:t>
      </w:r>
    </w:p>
    <w:p w14:paraId="4C02B5CE">
      <w:pPr>
        <w:jc w:val="center"/>
        <w:rPr>
          <w:rFonts w:hint="default" w:ascii="Times New Roman" w:hAnsi="Times New Roman" w:eastAsia="方正小标宋_GBK" w:cs="Times New Roman"/>
          <w:b/>
          <w:sz w:val="52"/>
          <w:szCs w:val="52"/>
          <w:highlight w:val="none"/>
        </w:rPr>
      </w:pPr>
    </w:p>
    <w:p w14:paraId="394E65D5">
      <w:pPr>
        <w:jc w:val="center"/>
        <w:rPr>
          <w:rFonts w:hint="default" w:ascii="Times New Roman" w:hAnsi="Times New Roman" w:eastAsia="楷体_GB2312" w:cs="Times New Roman"/>
          <w:b/>
          <w:sz w:val="32"/>
          <w:szCs w:val="32"/>
          <w:highlight w:val="none"/>
        </w:rPr>
      </w:pPr>
    </w:p>
    <w:p w14:paraId="59279309">
      <w:pPr>
        <w:jc w:val="center"/>
        <w:rPr>
          <w:rFonts w:hint="default" w:ascii="Times New Roman" w:hAnsi="Times New Roman" w:eastAsia="楷体_GB2312" w:cs="Times New Roman"/>
          <w:b/>
          <w:sz w:val="32"/>
          <w:szCs w:val="32"/>
          <w:highlight w:val="none"/>
        </w:rPr>
      </w:pPr>
    </w:p>
    <w:p w14:paraId="5A8F2852">
      <w:pPr>
        <w:jc w:val="center"/>
        <w:rPr>
          <w:rFonts w:hint="default" w:ascii="Times New Roman" w:hAnsi="Times New Roman" w:eastAsia="楷体_GB2312" w:cs="Times New Roman"/>
          <w:b/>
          <w:sz w:val="32"/>
          <w:szCs w:val="32"/>
          <w:highlight w:val="none"/>
        </w:rPr>
      </w:pPr>
    </w:p>
    <w:p w14:paraId="02943BCC">
      <w:pPr>
        <w:jc w:val="center"/>
        <w:rPr>
          <w:rFonts w:hint="default" w:ascii="Times New Roman" w:hAnsi="Times New Roman" w:eastAsia="楷体_GB2312" w:cs="Times New Roman"/>
          <w:b/>
          <w:sz w:val="32"/>
          <w:szCs w:val="32"/>
          <w:highlight w:val="none"/>
        </w:rPr>
      </w:pPr>
    </w:p>
    <w:p w14:paraId="39227515">
      <w:pPr>
        <w:jc w:val="center"/>
        <w:rPr>
          <w:rFonts w:hint="default" w:ascii="Times New Roman" w:hAnsi="Times New Roman" w:eastAsia="楷体_GB2312" w:cs="Times New Roman"/>
          <w:b/>
          <w:sz w:val="32"/>
          <w:szCs w:val="32"/>
          <w:highlight w:val="none"/>
        </w:rPr>
      </w:pPr>
    </w:p>
    <w:p w14:paraId="390D5B1A">
      <w:pPr>
        <w:jc w:val="center"/>
        <w:rPr>
          <w:rFonts w:hint="default" w:ascii="Times New Roman" w:hAnsi="Times New Roman" w:eastAsia="楷体_GB2312" w:cs="Times New Roman"/>
          <w:b/>
          <w:sz w:val="32"/>
          <w:szCs w:val="32"/>
          <w:highlight w:val="none"/>
        </w:rPr>
      </w:pPr>
    </w:p>
    <w:p w14:paraId="13F6CEF8">
      <w:pPr>
        <w:jc w:val="center"/>
        <w:rPr>
          <w:rFonts w:hint="default" w:ascii="Times New Roman" w:hAnsi="Times New Roman" w:eastAsia="黑体" w:cs="Times New Roman"/>
          <w:sz w:val="32"/>
          <w:szCs w:val="32"/>
          <w:highlight w:val="none"/>
        </w:rPr>
      </w:pPr>
    </w:p>
    <w:p w14:paraId="47188D40">
      <w:pPr>
        <w:jc w:val="both"/>
        <w:rPr>
          <w:rFonts w:hint="default" w:ascii="Times New Roman" w:hAnsi="Times New Roman" w:eastAsia="黑体" w:cs="Times New Roman"/>
          <w:sz w:val="32"/>
          <w:szCs w:val="32"/>
          <w:highlight w:val="none"/>
        </w:rPr>
      </w:pPr>
    </w:p>
    <w:p w14:paraId="2EB133BC">
      <w:pPr>
        <w:jc w:val="both"/>
        <w:rPr>
          <w:rFonts w:hint="default" w:ascii="Times New Roman" w:hAnsi="Times New Roman" w:eastAsia="黑体" w:cs="Times New Roman"/>
          <w:sz w:val="32"/>
          <w:szCs w:val="32"/>
          <w:highlight w:val="none"/>
        </w:rPr>
      </w:pPr>
    </w:p>
    <w:p w14:paraId="209FDD0B">
      <w:pPr>
        <w:jc w:val="center"/>
        <w:rPr>
          <w:rFonts w:hint="default" w:ascii="Times New Roman" w:hAnsi="Times New Roman" w:eastAsia="黑体" w:cs="Times New Roman"/>
          <w:sz w:val="32"/>
          <w:szCs w:val="32"/>
          <w:highlight w:val="none"/>
        </w:rPr>
      </w:pPr>
    </w:p>
    <w:p w14:paraId="3C270247">
      <w:pPr>
        <w:jc w:val="center"/>
        <w:rPr>
          <w:rFonts w:hint="default" w:ascii="Times New Roman" w:hAnsi="Times New Roman" w:eastAsia="黑体" w:cs="Times New Roman"/>
          <w:sz w:val="32"/>
          <w:szCs w:val="32"/>
          <w:highlight w:val="none"/>
        </w:rPr>
      </w:pPr>
    </w:p>
    <w:p w14:paraId="06C67791">
      <w:pPr>
        <w:jc w:val="center"/>
        <w:rPr>
          <w:rFonts w:hint="default" w:ascii="Times New Roman" w:hAnsi="Times New Roman" w:eastAsia="黑体" w:cs="Times New Roman"/>
          <w:sz w:val="32"/>
          <w:szCs w:val="32"/>
          <w:highlight w:val="none"/>
        </w:rPr>
      </w:pPr>
    </w:p>
    <w:p w14:paraId="64E7BB39">
      <w:pPr>
        <w:spacing w:line="600" w:lineRule="exact"/>
        <w:jc w:val="center"/>
        <w:rPr>
          <w:rFonts w:hint="eastAsia"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u w:val="single"/>
          <w:lang w:eastAsia="zh-CN"/>
        </w:rPr>
        <w:t>岳阳市检验</w:t>
      </w:r>
      <w:r>
        <w:rPr>
          <w:rFonts w:hint="eastAsia" w:ascii="Times New Roman" w:hAnsi="Times New Roman" w:eastAsia="仿宋_GB2312" w:cs="Times New Roman"/>
          <w:sz w:val="32"/>
          <w:szCs w:val="32"/>
          <w:highlight w:val="none"/>
          <w:u w:val="single"/>
          <w:lang w:val="en-US" w:eastAsia="zh-CN"/>
        </w:rPr>
        <w:t>检测中心</w:t>
      </w:r>
    </w:p>
    <w:p w14:paraId="4EF5D9F0">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19</w:t>
      </w:r>
      <w:r>
        <w:rPr>
          <w:rFonts w:hint="default" w:ascii="Times New Roman" w:hAnsi="Times New Roman" w:eastAsia="楷体_GB2312" w:cs="Times New Roman"/>
          <w:sz w:val="32"/>
          <w:szCs w:val="32"/>
          <w:highlight w:val="none"/>
        </w:rPr>
        <w:t>日</w:t>
      </w:r>
    </w:p>
    <w:p w14:paraId="09369CD5">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0EDD78BC">
      <w:pPr>
        <w:jc w:val="center"/>
        <w:rPr>
          <w:rFonts w:hint="eastAsia" w:ascii="方正小标宋简体" w:hAnsi="方正小标宋简体" w:eastAsia="方正小标宋简体" w:cs="方正小标宋简体"/>
          <w:sz w:val="44"/>
          <w:szCs w:val="44"/>
          <w:highlight w:val="none"/>
          <w:lang w:eastAsia="zh-CN"/>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岳阳市检验检测中心</w:t>
      </w:r>
    </w:p>
    <w:p w14:paraId="6C449643">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275BFA09">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71438941">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32742C3B">
      <w:pPr>
        <w:pStyle w:val="2"/>
        <w:numPr>
          <w:ilvl w:val="0"/>
          <w:numId w:val="0"/>
        </w:numPr>
        <w:ind w:firstLine="620" w:firstLineChars="200"/>
        <w:rPr>
          <w:rFonts w:hint="default"/>
        </w:rPr>
      </w:pPr>
      <w:r>
        <w:rPr>
          <w:rFonts w:hint="default"/>
        </w:rPr>
        <w:t>（一）职能职责</w:t>
      </w:r>
    </w:p>
    <w:p w14:paraId="5FE3A6A1">
      <w:pPr>
        <w:pStyle w:val="2"/>
        <w:numPr>
          <w:ilvl w:val="0"/>
          <w:numId w:val="0"/>
        </w:numPr>
        <w:ind w:firstLine="620" w:firstLineChars="200"/>
        <w:rPr>
          <w:rFonts w:hint="default"/>
        </w:rPr>
      </w:pPr>
      <w:r>
        <w:rPr>
          <w:rFonts w:hint="default"/>
        </w:rPr>
        <w:t>根据三定方案我中心职能具体如下：</w:t>
      </w:r>
    </w:p>
    <w:p w14:paraId="3EAEC826">
      <w:pPr>
        <w:pStyle w:val="2"/>
        <w:numPr>
          <w:ilvl w:val="0"/>
          <w:numId w:val="0"/>
        </w:numPr>
        <w:ind w:firstLine="620" w:firstLineChars="200"/>
        <w:rPr>
          <w:rFonts w:hint="default"/>
        </w:rPr>
      </w:pPr>
      <w:r>
        <w:rPr>
          <w:rFonts w:hint="default"/>
        </w:rPr>
        <w:t>(1)为机关提供支持保障的职能：1.负责市场监督管理部门委托的产品、重要工业产品的监督牡查牡样、检验工作;负 责管辖范围内纤维制品、棉花质量监督工作;负责棉花、国家储备棉质量公证检验工作;承担市场监督管理部门委托的食品安全牡样、检验工作;负责依法实施药品监督管理所需的检验工作;负 责市场监督管理部门委托的化妆品、医疗器械检验工作。2.负责卫生行政部门和市场监督管理部门委托的食品安全风险监测工作;参与食品安全风险评估信息和食品安全监督管理信息工作。3.承担农业行政管理部门委托的农产品质量安全监督牡查检测工作。4.承担粮食行政管理部门委托的粮食质量安全的扦样和检验工作。5.负责研究建立计量基准、社会公用计量标准,进行量值传递;执行强制检定和法律规定的其他检定、测试任务;起草技术规范,为 实施计量监督提供技术保证;承办有关计量监督工作。6.向国务院标准化行政主管部门提 出强制性国家标准的立项建议。7.负责为市市场监督管理局、市农业农村局、市商务粮食局等政府其他职能部门履行产品质量监管职责提供技术支撑工作。</w:t>
      </w:r>
    </w:p>
    <w:p w14:paraId="0D39BF4C">
      <w:pPr>
        <w:pStyle w:val="2"/>
        <w:numPr>
          <w:ilvl w:val="0"/>
          <w:numId w:val="0"/>
        </w:numPr>
        <w:ind w:firstLine="620" w:firstLineChars="200"/>
        <w:rPr>
          <w:rFonts w:hint="default"/>
        </w:rPr>
      </w:pPr>
      <w:r>
        <w:rPr>
          <w:rFonts w:hint="default"/>
        </w:rPr>
        <w:t>(2)面向社会提供公益服务的职能：1.接受有关部门、社会组织、法人及公民委托,依法开展检验检测工作,提供计量检定、校准、测试证书和质检报告等质量证明。2.为县 (市 )检验检测技术机构开展新标准、新技术的推广工作提供技术支持,为 检验检测技术机构和相关行业、企业提供检验专业技术人员培训和技术服务。</w:t>
      </w:r>
    </w:p>
    <w:p w14:paraId="48B3B140">
      <w:pPr>
        <w:pStyle w:val="2"/>
        <w:numPr>
          <w:ilvl w:val="0"/>
          <w:numId w:val="0"/>
        </w:numPr>
        <w:ind w:firstLine="620" w:firstLineChars="200"/>
        <w:rPr>
          <w:rFonts w:hint="default"/>
        </w:rPr>
      </w:pPr>
      <w:r>
        <w:rPr>
          <w:rFonts w:hint="default"/>
        </w:rPr>
        <w:t>(3)完成市市场监管局交办的其他任务。</w:t>
      </w:r>
    </w:p>
    <w:p w14:paraId="6A6952CE">
      <w:pPr>
        <w:pStyle w:val="2"/>
        <w:numPr>
          <w:ilvl w:val="0"/>
          <w:numId w:val="0"/>
        </w:numPr>
        <w:rPr>
          <w:rFonts w:hint="default"/>
        </w:rPr>
      </w:pPr>
      <w:r>
        <w:rPr>
          <w:rFonts w:hint="default"/>
        </w:rPr>
        <w:t>（二）机构情况</w:t>
      </w:r>
    </w:p>
    <w:p w14:paraId="4301261B">
      <w:pPr>
        <w:pStyle w:val="2"/>
        <w:numPr>
          <w:ilvl w:val="0"/>
          <w:numId w:val="0"/>
        </w:numPr>
        <w:ind w:firstLine="620" w:firstLineChars="200"/>
        <w:rPr>
          <w:rFonts w:hint="default"/>
        </w:rPr>
      </w:pPr>
      <w:r>
        <w:rPr>
          <w:rFonts w:hint="default"/>
        </w:rPr>
        <w:t>根据编委核定，市检验检测中心设10个内设机构、3个分支机构。</w:t>
      </w:r>
    </w:p>
    <w:p w14:paraId="60ABEE52">
      <w:pPr>
        <w:pStyle w:val="2"/>
        <w:numPr>
          <w:ilvl w:val="0"/>
          <w:numId w:val="0"/>
        </w:numPr>
        <w:ind w:firstLine="620" w:firstLineChars="200"/>
        <w:rPr>
          <w:rFonts w:hint="default"/>
        </w:rPr>
      </w:pPr>
      <w:r>
        <w:rPr>
          <w:rFonts w:hint="default"/>
        </w:rPr>
        <w:t>10个内设机构分别是：综合部、质量控制部、技术保障部、抽检部、业务发展部、标准化工作部、农产品检验部、粮食质量检验监测部、人事部、计划财务部。</w:t>
      </w:r>
    </w:p>
    <w:p w14:paraId="374F8B98">
      <w:pPr>
        <w:pStyle w:val="2"/>
        <w:numPr>
          <w:ilvl w:val="0"/>
          <w:numId w:val="0"/>
        </w:numPr>
        <w:rPr>
          <w:rFonts w:hint="default"/>
        </w:rPr>
      </w:pPr>
      <w:r>
        <w:rPr>
          <w:rFonts w:hint="default"/>
        </w:rPr>
        <w:t>3个分支机构分别是：市产品质量检验所 (市纤维质量监测中心 )、市计量测试检定所、市食品药品检验所。</w:t>
      </w:r>
    </w:p>
    <w:p w14:paraId="49C39989">
      <w:pPr>
        <w:pStyle w:val="2"/>
        <w:numPr>
          <w:ilvl w:val="0"/>
          <w:numId w:val="0"/>
        </w:numPr>
        <w:rPr>
          <w:rFonts w:hint="default"/>
        </w:rPr>
      </w:pPr>
      <w:r>
        <w:rPr>
          <w:rFonts w:hint="default"/>
        </w:rPr>
        <w:t>（三）人员情况</w:t>
      </w:r>
    </w:p>
    <w:p w14:paraId="222A858A">
      <w:pPr>
        <w:pStyle w:val="2"/>
        <w:numPr>
          <w:ilvl w:val="0"/>
          <w:numId w:val="0"/>
        </w:numPr>
        <w:ind w:firstLine="620" w:firstLineChars="200"/>
        <w:rPr>
          <w:rFonts w:hint="default"/>
        </w:rPr>
      </w:pPr>
      <w:r>
        <w:rPr>
          <w:rFonts w:hint="default"/>
        </w:rPr>
        <w:t>截至20</w:t>
      </w:r>
      <w:r>
        <w:rPr>
          <w:rFonts w:hint="eastAsia"/>
          <w:lang w:val="en-US" w:eastAsia="zh-CN"/>
        </w:rPr>
        <w:t>24</w:t>
      </w:r>
      <w:r>
        <w:rPr>
          <w:rFonts w:hint="default"/>
        </w:rPr>
        <w:t>年末，本单位共有在职在编人员</w:t>
      </w:r>
      <w:r>
        <w:rPr>
          <w:rFonts w:hint="eastAsia"/>
          <w:lang w:val="en-US" w:eastAsia="zh-CN"/>
        </w:rPr>
        <w:t>87</w:t>
      </w:r>
      <w:r>
        <w:rPr>
          <w:rFonts w:hint="default"/>
        </w:rPr>
        <w:t>名，退休人员</w:t>
      </w:r>
      <w:r>
        <w:rPr>
          <w:rFonts w:hint="eastAsia"/>
          <w:lang w:val="en-US" w:eastAsia="zh-CN"/>
        </w:rPr>
        <w:t>42</w:t>
      </w:r>
      <w:r>
        <w:rPr>
          <w:rFonts w:hint="default"/>
        </w:rPr>
        <w:t>名。</w:t>
      </w:r>
    </w:p>
    <w:p w14:paraId="68C62E93">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1CFE397F">
      <w:pPr>
        <w:pStyle w:val="7"/>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68BA3CFB">
      <w:pPr>
        <w:pStyle w:val="7"/>
        <w:keepNext w:val="0"/>
        <w:keepLines w:val="0"/>
        <w:pageBreakBefore w:val="0"/>
        <w:widowControl/>
        <w:kinsoku/>
        <w:wordWrap/>
        <w:overflowPunct/>
        <w:topLinePunct w:val="0"/>
        <w:autoSpaceDE/>
        <w:autoSpaceDN/>
        <w:bidi w:val="0"/>
        <w:adjustRightInd/>
        <w:snapToGrid/>
        <w:spacing w:line="640" w:lineRule="exact"/>
        <w:ind w:firstLine="620" w:firstLineChars="200"/>
        <w:jc w:val="both"/>
        <w:textAlignment w:val="auto"/>
        <w:rPr>
          <w:rFonts w:hint="default" w:ascii="仿宋" w:hAnsi="仿宋" w:eastAsia="仿宋" w:cs="仿宋"/>
          <w:kern w:val="0"/>
          <w:sz w:val="31"/>
          <w:szCs w:val="31"/>
          <w:lang w:val="en-US" w:eastAsia="en-US" w:bidi="ar-SA"/>
        </w:rPr>
      </w:pPr>
      <w:r>
        <w:rPr>
          <w:rFonts w:hint="default" w:ascii="仿宋" w:hAnsi="仿宋" w:eastAsia="仿宋" w:cs="仿宋"/>
          <w:kern w:val="0"/>
          <w:sz w:val="31"/>
          <w:szCs w:val="31"/>
          <w:lang w:val="en-US" w:eastAsia="en-US" w:bidi="ar-SA"/>
        </w:rPr>
        <w:t>202</w:t>
      </w:r>
      <w:r>
        <w:rPr>
          <w:rFonts w:hint="eastAsia" w:ascii="仿宋" w:hAnsi="仿宋" w:eastAsia="仿宋" w:cs="仿宋"/>
          <w:kern w:val="0"/>
          <w:sz w:val="31"/>
          <w:szCs w:val="31"/>
          <w:lang w:val="en-US" w:eastAsia="zh-CN" w:bidi="ar-SA"/>
        </w:rPr>
        <w:t>4</w:t>
      </w:r>
      <w:r>
        <w:rPr>
          <w:rFonts w:hint="default" w:ascii="仿宋" w:hAnsi="仿宋" w:eastAsia="仿宋" w:cs="仿宋"/>
          <w:kern w:val="0"/>
          <w:sz w:val="31"/>
          <w:szCs w:val="31"/>
          <w:lang w:val="en-US" w:eastAsia="en-US" w:bidi="ar-SA"/>
        </w:rPr>
        <w:t>年一般公共预算财政拨款基本支出</w:t>
      </w:r>
      <w:r>
        <w:rPr>
          <w:rFonts w:hint="eastAsia" w:ascii="仿宋" w:hAnsi="仿宋" w:eastAsia="仿宋" w:cs="仿宋"/>
          <w:kern w:val="0"/>
          <w:sz w:val="31"/>
          <w:szCs w:val="31"/>
          <w:lang w:val="en-US" w:eastAsia="zh-CN" w:bidi="ar-SA"/>
        </w:rPr>
        <w:t>1838.45</w:t>
      </w:r>
      <w:r>
        <w:rPr>
          <w:rFonts w:hint="default" w:ascii="仿宋" w:hAnsi="仿宋" w:eastAsia="仿宋" w:cs="仿宋"/>
          <w:kern w:val="0"/>
          <w:sz w:val="31"/>
          <w:szCs w:val="31"/>
          <w:lang w:val="en-US" w:eastAsia="en-US" w:bidi="ar-SA"/>
        </w:rPr>
        <w:t>万元，其中工资福利支出</w:t>
      </w:r>
      <w:r>
        <w:rPr>
          <w:rFonts w:hint="eastAsia" w:ascii="仿宋" w:hAnsi="仿宋" w:eastAsia="仿宋" w:cs="仿宋"/>
          <w:kern w:val="0"/>
          <w:sz w:val="31"/>
          <w:szCs w:val="31"/>
          <w:lang w:val="en-US" w:eastAsia="zh-CN" w:bidi="ar-SA"/>
        </w:rPr>
        <w:t>1486.51</w:t>
      </w:r>
      <w:r>
        <w:rPr>
          <w:rFonts w:hint="default" w:ascii="仿宋" w:hAnsi="仿宋" w:eastAsia="仿宋" w:cs="仿宋"/>
          <w:kern w:val="0"/>
          <w:sz w:val="31"/>
          <w:szCs w:val="31"/>
          <w:lang w:val="en-US" w:eastAsia="en-US" w:bidi="ar-SA"/>
        </w:rPr>
        <w:t>万元，商品和服务支出</w:t>
      </w:r>
      <w:r>
        <w:rPr>
          <w:rFonts w:hint="eastAsia" w:ascii="仿宋" w:hAnsi="仿宋" w:eastAsia="仿宋" w:cs="仿宋"/>
          <w:kern w:val="0"/>
          <w:sz w:val="31"/>
          <w:szCs w:val="31"/>
          <w:lang w:val="en-US" w:eastAsia="zh-CN" w:bidi="ar-SA"/>
        </w:rPr>
        <w:t>114.37</w:t>
      </w:r>
      <w:r>
        <w:rPr>
          <w:rFonts w:hint="default" w:ascii="仿宋" w:hAnsi="仿宋" w:eastAsia="仿宋" w:cs="仿宋"/>
          <w:kern w:val="0"/>
          <w:sz w:val="31"/>
          <w:szCs w:val="31"/>
          <w:lang w:val="en-US" w:eastAsia="en-US" w:bidi="ar-SA"/>
        </w:rPr>
        <w:t>万元，对个人和家庭的补助</w:t>
      </w:r>
      <w:r>
        <w:rPr>
          <w:rFonts w:hint="eastAsia" w:ascii="仿宋" w:hAnsi="仿宋" w:eastAsia="仿宋" w:cs="仿宋"/>
          <w:kern w:val="0"/>
          <w:sz w:val="31"/>
          <w:szCs w:val="31"/>
          <w:lang w:val="en-US" w:eastAsia="zh-CN" w:bidi="ar-SA"/>
        </w:rPr>
        <w:t>237.57</w:t>
      </w:r>
      <w:r>
        <w:rPr>
          <w:rFonts w:hint="default" w:ascii="仿宋" w:hAnsi="仿宋" w:eastAsia="仿宋" w:cs="仿宋"/>
          <w:kern w:val="0"/>
          <w:sz w:val="31"/>
          <w:szCs w:val="31"/>
          <w:lang w:val="en-US" w:eastAsia="en-US" w:bidi="ar-SA"/>
        </w:rPr>
        <w:t>万元，比预算数</w:t>
      </w:r>
      <w:r>
        <w:rPr>
          <w:rFonts w:hint="eastAsia" w:ascii="仿宋" w:hAnsi="仿宋" w:eastAsia="仿宋" w:cs="仿宋"/>
          <w:kern w:val="0"/>
          <w:sz w:val="31"/>
          <w:szCs w:val="31"/>
          <w:lang w:val="en-US" w:eastAsia="zh-CN" w:bidi="ar-SA"/>
        </w:rPr>
        <w:t>1663.50</w:t>
      </w:r>
      <w:r>
        <w:rPr>
          <w:rFonts w:hint="default" w:ascii="仿宋" w:hAnsi="仿宋" w:eastAsia="仿宋" w:cs="仿宋"/>
          <w:kern w:val="0"/>
          <w:sz w:val="31"/>
          <w:szCs w:val="31"/>
          <w:lang w:val="en-US" w:eastAsia="en-US" w:bidi="ar-SA"/>
        </w:rPr>
        <w:t>万元增加</w:t>
      </w:r>
      <w:r>
        <w:rPr>
          <w:rFonts w:hint="eastAsia" w:ascii="仿宋" w:hAnsi="仿宋" w:eastAsia="仿宋" w:cs="仿宋"/>
          <w:kern w:val="0"/>
          <w:sz w:val="31"/>
          <w:szCs w:val="31"/>
          <w:lang w:val="en-US" w:eastAsia="zh-CN" w:bidi="ar-SA"/>
        </w:rPr>
        <w:t>174.95</w:t>
      </w:r>
      <w:r>
        <w:rPr>
          <w:rFonts w:hint="default" w:ascii="仿宋" w:hAnsi="仿宋" w:eastAsia="仿宋" w:cs="仿宋"/>
          <w:kern w:val="0"/>
          <w:sz w:val="31"/>
          <w:szCs w:val="31"/>
          <w:lang w:val="en-US" w:eastAsia="en-US" w:bidi="ar-SA"/>
        </w:rPr>
        <w:t>万元，增加的原因特定类项目增加</w:t>
      </w:r>
      <w:r>
        <w:rPr>
          <w:rFonts w:hint="default" w:ascii="仿宋" w:hAnsi="仿宋" w:eastAsia="仿宋" w:cs="仿宋"/>
          <w:kern w:val="0"/>
          <w:sz w:val="31"/>
          <w:szCs w:val="31"/>
          <w:highlight w:val="none"/>
          <w:lang w:val="en-US" w:eastAsia="en-US" w:bidi="ar-SA"/>
        </w:rPr>
        <w:t>。</w:t>
      </w:r>
    </w:p>
    <w:p w14:paraId="3D970A81">
      <w:pPr>
        <w:pStyle w:val="7"/>
        <w:keepNext w:val="0"/>
        <w:keepLines w:val="0"/>
        <w:pageBreakBefore w:val="0"/>
        <w:widowControl/>
        <w:kinsoku/>
        <w:wordWrap/>
        <w:overflowPunct/>
        <w:topLinePunct w:val="0"/>
        <w:autoSpaceDE/>
        <w:autoSpaceDN/>
        <w:bidi w:val="0"/>
        <w:adjustRightInd/>
        <w:snapToGrid/>
        <w:spacing w:line="640" w:lineRule="exact"/>
        <w:ind w:firstLine="620" w:firstLineChars="200"/>
        <w:jc w:val="both"/>
        <w:textAlignment w:val="auto"/>
        <w:rPr>
          <w:rFonts w:hint="default" w:ascii="仿宋" w:hAnsi="仿宋" w:eastAsia="仿宋" w:cs="仿宋"/>
          <w:kern w:val="0"/>
          <w:sz w:val="31"/>
          <w:szCs w:val="31"/>
          <w:lang w:val="en-US" w:eastAsia="en-US" w:bidi="ar-SA"/>
        </w:rPr>
      </w:pPr>
      <w:r>
        <w:rPr>
          <w:rFonts w:hint="default" w:ascii="仿宋" w:hAnsi="仿宋" w:eastAsia="仿宋" w:cs="仿宋"/>
          <w:kern w:val="0"/>
          <w:sz w:val="31"/>
          <w:szCs w:val="31"/>
          <w:lang w:val="en-US" w:eastAsia="en-US" w:bidi="ar-SA"/>
        </w:rPr>
        <w:t>202</w:t>
      </w:r>
      <w:r>
        <w:rPr>
          <w:rFonts w:hint="eastAsia" w:ascii="仿宋" w:hAnsi="仿宋" w:eastAsia="仿宋" w:cs="仿宋"/>
          <w:kern w:val="0"/>
          <w:sz w:val="31"/>
          <w:szCs w:val="31"/>
          <w:lang w:val="en-US" w:eastAsia="zh-CN" w:bidi="ar-SA"/>
        </w:rPr>
        <w:t>4</w:t>
      </w:r>
      <w:r>
        <w:rPr>
          <w:rFonts w:hint="default" w:ascii="仿宋" w:hAnsi="仿宋" w:eastAsia="仿宋" w:cs="仿宋"/>
          <w:kern w:val="0"/>
          <w:sz w:val="31"/>
          <w:szCs w:val="31"/>
          <w:lang w:val="en-US" w:eastAsia="en-US" w:bidi="ar-SA"/>
        </w:rPr>
        <w:t>年“三公”经费支出</w:t>
      </w:r>
      <w:r>
        <w:rPr>
          <w:rFonts w:hint="eastAsia" w:ascii="仿宋" w:hAnsi="仿宋" w:eastAsia="仿宋" w:cs="仿宋"/>
          <w:kern w:val="0"/>
          <w:sz w:val="31"/>
          <w:szCs w:val="31"/>
          <w:highlight w:val="none"/>
          <w:lang w:val="en-US" w:eastAsia="zh-CN" w:bidi="ar-SA"/>
        </w:rPr>
        <w:t>24</w:t>
      </w:r>
      <w:r>
        <w:rPr>
          <w:rFonts w:hint="default" w:ascii="仿宋" w:hAnsi="仿宋" w:eastAsia="仿宋" w:cs="仿宋"/>
          <w:kern w:val="0"/>
          <w:sz w:val="31"/>
          <w:szCs w:val="31"/>
          <w:lang w:val="en-US" w:eastAsia="en-US" w:bidi="ar-SA"/>
        </w:rPr>
        <w:t>万元，比预算减少</w:t>
      </w:r>
      <w:r>
        <w:rPr>
          <w:rFonts w:hint="eastAsia" w:ascii="仿宋" w:hAnsi="仿宋" w:eastAsia="仿宋" w:cs="仿宋"/>
          <w:kern w:val="0"/>
          <w:sz w:val="31"/>
          <w:szCs w:val="31"/>
          <w:highlight w:val="none"/>
          <w:lang w:val="en-US" w:eastAsia="zh-CN" w:bidi="ar-SA"/>
        </w:rPr>
        <w:t>6</w:t>
      </w:r>
      <w:r>
        <w:rPr>
          <w:rFonts w:hint="default" w:ascii="仿宋" w:hAnsi="仿宋" w:eastAsia="仿宋" w:cs="仿宋"/>
          <w:kern w:val="0"/>
          <w:sz w:val="31"/>
          <w:szCs w:val="31"/>
          <w:lang w:val="en-US" w:eastAsia="en-US" w:bidi="ar-SA"/>
        </w:rPr>
        <w:t>万元，控制率</w:t>
      </w:r>
      <w:r>
        <w:rPr>
          <w:rFonts w:hint="eastAsia" w:ascii="仿宋" w:hAnsi="仿宋" w:eastAsia="仿宋" w:cs="仿宋"/>
          <w:kern w:val="0"/>
          <w:sz w:val="31"/>
          <w:szCs w:val="31"/>
          <w:highlight w:val="none"/>
          <w:lang w:val="en-US" w:eastAsia="zh-CN" w:bidi="ar-SA"/>
        </w:rPr>
        <w:t>80</w:t>
      </w:r>
      <w:r>
        <w:rPr>
          <w:rFonts w:hint="default" w:ascii="仿宋" w:hAnsi="仿宋" w:eastAsia="仿宋" w:cs="仿宋"/>
          <w:kern w:val="0"/>
          <w:sz w:val="31"/>
          <w:szCs w:val="31"/>
          <w:highlight w:val="none"/>
          <w:lang w:val="en-US" w:eastAsia="en-US" w:bidi="ar-SA"/>
        </w:rPr>
        <w:t>%</w:t>
      </w:r>
      <w:r>
        <w:rPr>
          <w:rFonts w:hint="default" w:ascii="仿宋" w:hAnsi="仿宋" w:eastAsia="仿宋" w:cs="仿宋"/>
          <w:kern w:val="0"/>
          <w:sz w:val="31"/>
          <w:szCs w:val="31"/>
          <w:lang w:val="en-US" w:eastAsia="en-US" w:bidi="ar-SA"/>
        </w:rPr>
        <w:t>，总额控制</w:t>
      </w:r>
      <w:r>
        <w:rPr>
          <w:rFonts w:hint="eastAsia" w:ascii="仿宋" w:hAnsi="仿宋" w:eastAsia="仿宋" w:cs="仿宋"/>
          <w:kern w:val="0"/>
          <w:sz w:val="31"/>
          <w:szCs w:val="31"/>
          <w:lang w:val="en-US" w:eastAsia="zh-CN" w:bidi="ar-SA"/>
        </w:rPr>
        <w:t>较</w:t>
      </w:r>
      <w:r>
        <w:rPr>
          <w:rFonts w:hint="default" w:ascii="仿宋" w:hAnsi="仿宋" w:eastAsia="仿宋" w:cs="仿宋"/>
          <w:kern w:val="0"/>
          <w:sz w:val="31"/>
          <w:szCs w:val="31"/>
          <w:lang w:val="en-US" w:eastAsia="en-US" w:bidi="ar-SA"/>
        </w:rPr>
        <w:t>好。较上年</w:t>
      </w:r>
      <w:r>
        <w:rPr>
          <w:rFonts w:hint="eastAsia" w:ascii="仿宋" w:hAnsi="仿宋" w:eastAsia="仿宋" w:cs="仿宋"/>
          <w:kern w:val="0"/>
          <w:sz w:val="31"/>
          <w:szCs w:val="31"/>
          <w:highlight w:val="none"/>
          <w:lang w:val="en-US" w:eastAsia="zh-CN" w:bidi="ar-SA"/>
        </w:rPr>
        <w:t>27.29</w:t>
      </w:r>
      <w:r>
        <w:rPr>
          <w:rFonts w:hint="default" w:ascii="仿宋" w:hAnsi="仿宋" w:eastAsia="仿宋" w:cs="仿宋"/>
          <w:kern w:val="0"/>
          <w:sz w:val="31"/>
          <w:szCs w:val="31"/>
          <w:highlight w:val="none"/>
          <w:lang w:val="en-US" w:eastAsia="en-US" w:bidi="ar-SA"/>
        </w:rPr>
        <w:t>万</w:t>
      </w:r>
      <w:r>
        <w:rPr>
          <w:rFonts w:hint="default" w:ascii="仿宋" w:hAnsi="仿宋" w:eastAsia="仿宋" w:cs="仿宋"/>
          <w:kern w:val="0"/>
          <w:sz w:val="31"/>
          <w:szCs w:val="31"/>
          <w:lang w:val="en-US" w:eastAsia="en-US" w:bidi="ar-SA"/>
        </w:rPr>
        <w:t>元</w:t>
      </w:r>
      <w:r>
        <w:rPr>
          <w:rFonts w:hint="eastAsia" w:ascii="仿宋" w:hAnsi="仿宋" w:eastAsia="仿宋" w:cs="仿宋"/>
          <w:kern w:val="0"/>
          <w:sz w:val="31"/>
          <w:szCs w:val="31"/>
          <w:lang w:val="en-US" w:eastAsia="zh-CN" w:bidi="ar-SA"/>
        </w:rPr>
        <w:t>减少</w:t>
      </w:r>
      <w:r>
        <w:rPr>
          <w:rFonts w:hint="eastAsia" w:ascii="仿宋" w:hAnsi="仿宋" w:eastAsia="仿宋" w:cs="仿宋"/>
          <w:kern w:val="0"/>
          <w:sz w:val="31"/>
          <w:szCs w:val="31"/>
          <w:highlight w:val="none"/>
          <w:lang w:val="en-US" w:eastAsia="zh-CN" w:bidi="ar-SA"/>
        </w:rPr>
        <w:t>3.29</w:t>
      </w:r>
      <w:r>
        <w:rPr>
          <w:rFonts w:hint="default" w:ascii="仿宋" w:hAnsi="仿宋" w:eastAsia="仿宋" w:cs="仿宋"/>
          <w:kern w:val="0"/>
          <w:sz w:val="31"/>
          <w:szCs w:val="31"/>
          <w:lang w:val="en-US" w:eastAsia="en-US" w:bidi="ar-SA"/>
        </w:rPr>
        <w:t>万元，</w:t>
      </w:r>
      <w:r>
        <w:rPr>
          <w:rFonts w:hint="eastAsia" w:ascii="仿宋" w:hAnsi="仿宋" w:eastAsia="仿宋" w:cs="仿宋"/>
          <w:kern w:val="0"/>
          <w:sz w:val="31"/>
          <w:szCs w:val="31"/>
          <w:lang w:val="en-US" w:eastAsia="zh-CN" w:bidi="ar-SA"/>
        </w:rPr>
        <w:t>下降12%</w:t>
      </w:r>
      <w:r>
        <w:rPr>
          <w:rFonts w:hint="default" w:ascii="仿宋" w:hAnsi="仿宋" w:eastAsia="仿宋" w:cs="仿宋"/>
          <w:kern w:val="0"/>
          <w:sz w:val="31"/>
          <w:szCs w:val="31"/>
          <w:lang w:val="en-US" w:eastAsia="en-US" w:bidi="ar-SA"/>
        </w:rPr>
        <w:t>，其中公务用车运行维护费</w:t>
      </w:r>
      <w:r>
        <w:rPr>
          <w:rFonts w:hint="eastAsia" w:ascii="仿宋" w:hAnsi="仿宋" w:eastAsia="仿宋" w:cs="仿宋"/>
          <w:kern w:val="0"/>
          <w:sz w:val="31"/>
          <w:szCs w:val="31"/>
          <w:highlight w:val="none"/>
          <w:lang w:val="en-US" w:eastAsia="zh-CN" w:bidi="ar-SA"/>
        </w:rPr>
        <w:t>22.71</w:t>
      </w:r>
      <w:r>
        <w:rPr>
          <w:rFonts w:hint="default" w:ascii="仿宋" w:hAnsi="仿宋" w:eastAsia="仿宋" w:cs="仿宋"/>
          <w:kern w:val="0"/>
          <w:sz w:val="31"/>
          <w:szCs w:val="31"/>
          <w:highlight w:val="none"/>
          <w:lang w:val="en-US" w:eastAsia="en-US" w:bidi="ar-SA"/>
        </w:rPr>
        <w:t>万元，较上年</w:t>
      </w:r>
      <w:r>
        <w:rPr>
          <w:rFonts w:hint="eastAsia" w:ascii="仿宋" w:hAnsi="仿宋" w:eastAsia="仿宋" w:cs="仿宋"/>
          <w:kern w:val="0"/>
          <w:sz w:val="31"/>
          <w:szCs w:val="31"/>
          <w:highlight w:val="none"/>
          <w:lang w:val="en-US" w:eastAsia="zh-CN" w:bidi="ar-SA"/>
        </w:rPr>
        <w:t>26.00</w:t>
      </w:r>
      <w:r>
        <w:rPr>
          <w:rFonts w:hint="default" w:ascii="仿宋" w:hAnsi="仿宋" w:eastAsia="仿宋" w:cs="仿宋"/>
          <w:kern w:val="0"/>
          <w:sz w:val="31"/>
          <w:szCs w:val="31"/>
          <w:highlight w:val="none"/>
          <w:lang w:val="en-US" w:eastAsia="en-US" w:bidi="ar-SA"/>
        </w:rPr>
        <w:t>万元</w:t>
      </w:r>
      <w:r>
        <w:rPr>
          <w:rFonts w:hint="eastAsia" w:ascii="仿宋" w:hAnsi="仿宋" w:eastAsia="仿宋" w:cs="仿宋"/>
          <w:kern w:val="0"/>
          <w:sz w:val="31"/>
          <w:szCs w:val="31"/>
          <w:highlight w:val="none"/>
          <w:lang w:val="en-US" w:eastAsia="zh-CN" w:bidi="ar-SA"/>
        </w:rPr>
        <w:t>减少3.29</w:t>
      </w:r>
      <w:r>
        <w:rPr>
          <w:rFonts w:hint="default" w:ascii="仿宋" w:hAnsi="仿宋" w:eastAsia="仿宋" w:cs="仿宋"/>
          <w:kern w:val="0"/>
          <w:sz w:val="31"/>
          <w:szCs w:val="31"/>
          <w:highlight w:val="none"/>
          <w:lang w:val="en-US" w:eastAsia="en-US" w:bidi="ar-SA"/>
        </w:rPr>
        <w:t>万元，</w:t>
      </w:r>
      <w:r>
        <w:rPr>
          <w:rFonts w:hint="eastAsia" w:ascii="仿宋" w:hAnsi="仿宋" w:eastAsia="仿宋" w:cs="仿宋"/>
          <w:kern w:val="0"/>
          <w:sz w:val="31"/>
          <w:szCs w:val="31"/>
          <w:highlight w:val="none"/>
          <w:lang w:val="en-US" w:eastAsia="zh-CN" w:bidi="ar-SA"/>
        </w:rPr>
        <w:t>下降12.6</w:t>
      </w:r>
      <w:r>
        <w:rPr>
          <w:rFonts w:hint="default" w:ascii="仿宋" w:hAnsi="仿宋" w:eastAsia="仿宋" w:cs="仿宋"/>
          <w:kern w:val="0"/>
          <w:sz w:val="31"/>
          <w:szCs w:val="31"/>
          <w:highlight w:val="none"/>
          <w:lang w:val="en-US" w:eastAsia="en-US" w:bidi="ar-SA"/>
        </w:rPr>
        <w:t>%；公务接待</w:t>
      </w:r>
      <w:r>
        <w:rPr>
          <w:rFonts w:hint="eastAsia" w:ascii="仿宋" w:hAnsi="仿宋" w:eastAsia="仿宋" w:cs="仿宋"/>
          <w:kern w:val="0"/>
          <w:sz w:val="31"/>
          <w:szCs w:val="31"/>
          <w:highlight w:val="none"/>
          <w:lang w:val="en-US" w:eastAsia="zh-CN" w:bidi="ar-SA"/>
        </w:rPr>
        <w:t>1.29</w:t>
      </w:r>
      <w:r>
        <w:rPr>
          <w:rFonts w:hint="default" w:ascii="仿宋" w:hAnsi="仿宋" w:eastAsia="仿宋" w:cs="仿宋"/>
          <w:kern w:val="0"/>
          <w:sz w:val="31"/>
          <w:szCs w:val="31"/>
          <w:highlight w:val="none"/>
          <w:lang w:val="en-US" w:eastAsia="en-US" w:bidi="ar-SA"/>
        </w:rPr>
        <w:t>万元，较上年</w:t>
      </w:r>
      <w:r>
        <w:rPr>
          <w:rFonts w:hint="eastAsia" w:ascii="仿宋" w:hAnsi="仿宋" w:eastAsia="仿宋" w:cs="仿宋"/>
          <w:kern w:val="0"/>
          <w:sz w:val="31"/>
          <w:szCs w:val="31"/>
          <w:highlight w:val="none"/>
          <w:lang w:val="en-US" w:eastAsia="zh-CN" w:bidi="ar-SA"/>
        </w:rPr>
        <w:t>1.29</w:t>
      </w:r>
      <w:r>
        <w:rPr>
          <w:rFonts w:hint="default" w:ascii="仿宋" w:hAnsi="仿宋" w:eastAsia="仿宋" w:cs="仿宋"/>
          <w:kern w:val="0"/>
          <w:sz w:val="31"/>
          <w:szCs w:val="31"/>
          <w:highlight w:val="none"/>
          <w:lang w:val="en-US" w:eastAsia="en-US" w:bidi="ar-SA"/>
        </w:rPr>
        <w:t>万元</w:t>
      </w:r>
      <w:r>
        <w:rPr>
          <w:rFonts w:hint="eastAsia" w:ascii="仿宋" w:hAnsi="仿宋" w:eastAsia="仿宋" w:cs="仿宋"/>
          <w:kern w:val="0"/>
          <w:sz w:val="31"/>
          <w:szCs w:val="31"/>
          <w:highlight w:val="none"/>
          <w:lang w:val="en-US" w:eastAsia="zh-CN" w:bidi="ar-SA"/>
        </w:rPr>
        <w:t>持平</w:t>
      </w:r>
      <w:r>
        <w:rPr>
          <w:rFonts w:hint="default" w:ascii="仿宋" w:hAnsi="仿宋" w:eastAsia="仿宋" w:cs="仿宋"/>
          <w:kern w:val="0"/>
          <w:sz w:val="31"/>
          <w:szCs w:val="31"/>
          <w:highlight w:val="none"/>
          <w:lang w:val="en-US" w:eastAsia="en-US" w:bidi="ar-SA"/>
        </w:rPr>
        <w:t>；202</w:t>
      </w:r>
      <w:r>
        <w:rPr>
          <w:rFonts w:hint="eastAsia" w:ascii="仿宋" w:hAnsi="仿宋" w:eastAsia="仿宋" w:cs="仿宋"/>
          <w:kern w:val="0"/>
          <w:sz w:val="31"/>
          <w:szCs w:val="31"/>
          <w:highlight w:val="none"/>
          <w:lang w:val="en-US" w:eastAsia="zh-CN" w:bidi="ar-SA"/>
        </w:rPr>
        <w:t>4</w:t>
      </w:r>
      <w:r>
        <w:rPr>
          <w:rFonts w:hint="default" w:ascii="仿宋" w:hAnsi="仿宋" w:eastAsia="仿宋" w:cs="仿宋"/>
          <w:kern w:val="0"/>
          <w:sz w:val="31"/>
          <w:szCs w:val="31"/>
          <w:lang w:val="en-US" w:eastAsia="en-US" w:bidi="ar-SA"/>
        </w:rPr>
        <w:t>年无公车购置和出国经费支出。</w:t>
      </w:r>
    </w:p>
    <w:p w14:paraId="3652D6C3">
      <w:pPr>
        <w:pStyle w:val="7"/>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14:paraId="211E1C6A">
      <w:pPr>
        <w:pStyle w:val="7"/>
        <w:keepNext w:val="0"/>
        <w:keepLines w:val="0"/>
        <w:pageBreakBefore w:val="0"/>
        <w:widowControl/>
        <w:kinsoku/>
        <w:wordWrap/>
        <w:overflowPunct/>
        <w:topLinePunct w:val="0"/>
        <w:autoSpaceDE/>
        <w:autoSpaceDN/>
        <w:bidi w:val="0"/>
        <w:adjustRightInd/>
        <w:snapToGrid/>
        <w:spacing w:line="640" w:lineRule="exact"/>
        <w:ind w:firstLine="620" w:firstLineChars="200"/>
        <w:jc w:val="both"/>
        <w:textAlignment w:val="auto"/>
        <w:rPr>
          <w:rFonts w:hint="eastAsia" w:ascii="仿宋" w:hAnsi="仿宋" w:eastAsia="仿宋" w:cs="仿宋"/>
          <w:kern w:val="0"/>
          <w:sz w:val="31"/>
          <w:szCs w:val="31"/>
          <w:lang w:val="en-US" w:eastAsia="zh-CN" w:bidi="ar-SA"/>
        </w:rPr>
      </w:pPr>
      <w:r>
        <w:rPr>
          <w:rFonts w:hint="eastAsia" w:ascii="仿宋" w:hAnsi="仿宋" w:eastAsia="仿宋" w:cs="仿宋"/>
          <w:kern w:val="0"/>
          <w:sz w:val="31"/>
          <w:szCs w:val="31"/>
          <w:lang w:val="en-US" w:eastAsia="zh-CN" w:bidi="ar-SA"/>
        </w:rPr>
        <w:t>无</w:t>
      </w:r>
    </w:p>
    <w:p w14:paraId="0E256A1C">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14:paraId="5C47CEB0">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firstLine="620" w:firstLineChars="200"/>
        <w:jc w:val="both"/>
        <w:textAlignment w:val="auto"/>
        <w:rPr>
          <w:rFonts w:hint="default" w:ascii="仿宋" w:hAnsi="仿宋" w:eastAsia="仿宋" w:cs="仿宋"/>
          <w:kern w:val="0"/>
          <w:sz w:val="31"/>
          <w:szCs w:val="31"/>
          <w:highlight w:val="none"/>
          <w:lang w:val="en-US" w:eastAsia="zh-CN" w:bidi="ar-SA"/>
        </w:rPr>
      </w:pPr>
      <w:r>
        <w:rPr>
          <w:rFonts w:hint="eastAsia" w:ascii="仿宋" w:hAnsi="仿宋" w:eastAsia="仿宋" w:cs="仿宋"/>
          <w:kern w:val="0"/>
          <w:sz w:val="31"/>
          <w:szCs w:val="31"/>
          <w:highlight w:val="none"/>
          <w:lang w:val="en-US" w:eastAsia="zh-CN" w:bidi="ar-SA"/>
        </w:rPr>
        <w:t>无</w:t>
      </w:r>
    </w:p>
    <w:p w14:paraId="79EA6B24">
      <w:pPr>
        <w:pStyle w:val="7"/>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53D49354">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    </w:t>
      </w:r>
      <w:r>
        <w:rPr>
          <w:rFonts w:hint="eastAsia" w:ascii="Times New Roman" w:hAnsi="Times New Roman" w:eastAsia="仿宋_GB2312" w:cs="Times New Roman"/>
          <w:color w:val="000000"/>
          <w:kern w:val="0"/>
          <w:sz w:val="32"/>
          <w:szCs w:val="32"/>
          <w:highlight w:val="none"/>
          <w:lang w:val="en-US" w:eastAsia="zh-CN" w:bidi="ar-SA"/>
        </w:rPr>
        <w:t>无</w:t>
      </w:r>
    </w:p>
    <w:p w14:paraId="221F02B6">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14:paraId="563D2CCA">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无</w:t>
      </w:r>
    </w:p>
    <w:p w14:paraId="17119F7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186C4227">
      <w:pPr>
        <w:pStyle w:val="2"/>
        <w:ind w:firstLine="640"/>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岳阳市检验检测中心</w:t>
      </w:r>
      <w:r>
        <w:rPr>
          <w:rFonts w:hint="default" w:ascii="Times New Roman" w:hAnsi="Times New Roman" w:eastAsia="仿宋_GB2312" w:cs="Times New Roman"/>
          <w:color w:val="000000"/>
          <w:sz w:val="32"/>
          <w:szCs w:val="32"/>
          <w:highlight w:val="none"/>
        </w:rPr>
        <w:t>“四本预算”支出的绩效目标完成情况，实现产出和取得效益的情况</w:t>
      </w:r>
      <w:r>
        <w:rPr>
          <w:rFonts w:hint="eastAsia" w:ascii="Times New Roman" w:hAnsi="Times New Roman" w:eastAsia="仿宋_GB2312" w:cs="Times New Roman"/>
          <w:color w:val="000000"/>
          <w:sz w:val="32"/>
          <w:szCs w:val="32"/>
          <w:highlight w:val="none"/>
          <w:lang w:eastAsia="zh-CN"/>
        </w:rPr>
        <w:t>总结如下。</w:t>
      </w:r>
    </w:p>
    <w:p w14:paraId="53DCA689">
      <w:pPr>
        <w:pStyle w:val="2"/>
        <w:numPr>
          <w:ilvl w:val="0"/>
          <w:numId w:val="4"/>
        </w:numPr>
        <w:ind w:firstLine="64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运行成本</w:t>
      </w:r>
    </w:p>
    <w:p w14:paraId="5632D838">
      <w:pPr>
        <w:pStyle w:val="2"/>
        <w:numPr>
          <w:ilvl w:val="0"/>
          <w:numId w:val="0"/>
        </w:numPr>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 xml:space="preserve">     2024年岳阳市检验检测中心全年预算2673.96万，全年执行2673.96万，执行率100%。主要支出为人员工资及检验检测业务相关产生的费用。</w:t>
      </w:r>
    </w:p>
    <w:p w14:paraId="016C00C3">
      <w:pPr>
        <w:pStyle w:val="2"/>
        <w:numPr>
          <w:ilvl w:val="0"/>
          <w:numId w:val="4"/>
        </w:numPr>
        <w:ind w:left="0" w:leftChars="0" w:firstLine="640" w:firstLineChars="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管理效率</w:t>
      </w:r>
    </w:p>
    <w:p w14:paraId="4C895846">
      <w:pPr>
        <w:pStyle w:val="2"/>
        <w:numPr>
          <w:ilvl w:val="0"/>
          <w:numId w:val="0"/>
        </w:numPr>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中心</w:t>
      </w:r>
      <w:r>
        <w:rPr>
          <w:rFonts w:hint="eastAsia" w:ascii="Times New Roman" w:hAnsi="Times New Roman" w:eastAsia="仿宋_GB2312" w:cs="Times New Roman"/>
          <w:color w:val="000000"/>
          <w:sz w:val="32"/>
          <w:szCs w:val="32"/>
          <w:highlight w:val="none"/>
          <w:lang w:val="en-US" w:eastAsia="zh-CN"/>
        </w:rPr>
        <w:t>根据《岳阳市检验检测中心质量管理手册》、《岳阳市检验检测中心程序文件》、《岳阳市检验检测中心内控管理制度》、《岳阳市检验检测中心财务管理制度》，进一步规范了业务流程，</w:t>
      </w:r>
      <w:r>
        <w:rPr>
          <w:rFonts w:hint="default" w:ascii="Times New Roman" w:hAnsi="Times New Roman" w:eastAsia="仿宋_GB2312" w:cs="Times New Roman"/>
          <w:color w:val="000000"/>
          <w:sz w:val="32"/>
          <w:szCs w:val="32"/>
          <w:highlight w:val="none"/>
          <w:lang w:val="en-US" w:eastAsia="zh-CN"/>
        </w:rPr>
        <w:t>充分发挥财政资金引导作用，规范和加强专项资金管理,提高资金使用效益,有力地推动了岳阳市检验检测各项工作的开展。</w:t>
      </w:r>
    </w:p>
    <w:p w14:paraId="69A6863B">
      <w:pPr>
        <w:pStyle w:val="2"/>
        <w:numPr>
          <w:ilvl w:val="0"/>
          <w:numId w:val="4"/>
        </w:numPr>
        <w:ind w:left="0" w:leftChars="0" w:firstLine="640" w:firstLineChars="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履职效能</w:t>
      </w:r>
    </w:p>
    <w:p w14:paraId="394B0982">
      <w:pPr>
        <w:keepNext w:val="0"/>
        <w:keepLines w:val="0"/>
        <w:pageBreakBefore w:val="0"/>
        <w:widowControl w:val="0"/>
        <w:tabs>
          <w:tab w:val="left" w:pos="2661"/>
        </w:tabs>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按照“双随机，一公开”以及“行业覆盖、区域覆盖、产品覆盖”的原则，全面完成食品、药品、工业产品等行业的监督抽查和检验业务，已备案的强检计量器具检定，</w:t>
      </w:r>
      <w:r>
        <w:rPr>
          <w:rFonts w:hint="eastAsia" w:ascii="仿宋_GB2312" w:eastAsia="仿宋_GB2312"/>
          <w:color w:val="000000"/>
          <w:sz w:val="32"/>
          <w:szCs w:val="32"/>
          <w:lang w:eastAsia="zh-CN"/>
        </w:rPr>
        <w:t>以及</w:t>
      </w:r>
      <w:r>
        <w:rPr>
          <w:rFonts w:hint="eastAsia" w:ascii="仿宋_GB2312" w:eastAsia="仿宋_GB2312"/>
          <w:color w:val="000000"/>
          <w:sz w:val="32"/>
          <w:szCs w:val="32"/>
        </w:rPr>
        <w:t>国家下达的棉花公检任务。全年共完成</w:t>
      </w:r>
      <w:r>
        <w:rPr>
          <w:rFonts w:hint="eastAsia" w:ascii="仿宋_GB2312" w:eastAsia="仿宋_GB2312"/>
          <w:color w:val="000000"/>
          <w:sz w:val="32"/>
          <w:szCs w:val="32"/>
          <w:lang w:eastAsia="zh-CN"/>
        </w:rPr>
        <w:t>重点工业产品</w:t>
      </w:r>
      <w:r>
        <w:rPr>
          <w:rFonts w:hint="eastAsia" w:ascii="仿宋_GB2312" w:eastAsia="仿宋_GB2312"/>
          <w:color w:val="000000"/>
          <w:sz w:val="32"/>
          <w:szCs w:val="32"/>
        </w:rPr>
        <w:t>监督抽样和检验</w:t>
      </w:r>
      <w:r>
        <w:rPr>
          <w:rFonts w:hint="eastAsia" w:ascii="仿宋_GB2312" w:eastAsia="仿宋_GB2312"/>
          <w:color w:val="000000"/>
          <w:sz w:val="32"/>
          <w:szCs w:val="32"/>
          <w:lang w:val="en-US" w:eastAsia="zh-CN"/>
        </w:rPr>
        <w:t>572</w:t>
      </w:r>
      <w:r>
        <w:rPr>
          <w:rFonts w:hint="eastAsia" w:ascii="仿宋_GB2312" w:eastAsia="仿宋_GB2312"/>
          <w:color w:val="000000"/>
          <w:sz w:val="32"/>
          <w:szCs w:val="32"/>
        </w:rPr>
        <w:t>批次，检出不合格产品</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批次</w:t>
      </w:r>
      <w:r>
        <w:rPr>
          <w:rFonts w:hint="eastAsia" w:ascii="仿宋_GB2312" w:eastAsia="仿宋_GB2312"/>
          <w:color w:val="000000"/>
          <w:sz w:val="32"/>
          <w:szCs w:val="32"/>
          <w:lang w:eastAsia="zh-CN"/>
        </w:rPr>
        <w:t>，</w:t>
      </w:r>
      <w:r>
        <w:rPr>
          <w:rFonts w:hint="eastAsia" w:ascii="仿宋_GB2312" w:eastAsia="仿宋_GB2312"/>
          <w:color w:val="000000"/>
          <w:sz w:val="32"/>
          <w:szCs w:val="32"/>
        </w:rPr>
        <w:t>委托检验</w:t>
      </w:r>
      <w:r>
        <w:rPr>
          <w:rFonts w:hint="eastAsia" w:ascii="仿宋_GB2312" w:eastAsia="仿宋_GB2312"/>
          <w:color w:val="000000"/>
          <w:sz w:val="32"/>
          <w:szCs w:val="32"/>
          <w:lang w:val="en-US" w:eastAsia="zh-CN"/>
        </w:rPr>
        <w:t>1036</w:t>
      </w:r>
      <w:r>
        <w:rPr>
          <w:rFonts w:hint="eastAsia" w:ascii="仿宋_GB2312" w:eastAsia="仿宋_GB2312"/>
          <w:color w:val="000000"/>
          <w:sz w:val="32"/>
          <w:szCs w:val="32"/>
        </w:rPr>
        <w:t>批次</w:t>
      </w:r>
      <w:r>
        <w:rPr>
          <w:rFonts w:hint="eastAsia" w:ascii="仿宋_GB2312" w:eastAsia="仿宋_GB2312"/>
          <w:color w:val="000000"/>
          <w:sz w:val="32"/>
          <w:szCs w:val="32"/>
          <w:lang w:eastAsia="zh-CN"/>
        </w:rPr>
        <w:t>，</w:t>
      </w:r>
      <w:r>
        <w:rPr>
          <w:rFonts w:hint="eastAsia" w:ascii="仿宋_GB2312" w:eastAsia="仿宋_GB2312"/>
          <w:color w:val="000000"/>
          <w:sz w:val="32"/>
          <w:szCs w:val="32"/>
        </w:rPr>
        <w:t>新疆监管棉</w:t>
      </w:r>
      <w:r>
        <w:rPr>
          <w:rFonts w:hint="eastAsia" w:ascii="仿宋_GB2312" w:eastAsia="仿宋_GB2312"/>
          <w:color w:val="000000"/>
          <w:sz w:val="32"/>
          <w:szCs w:val="32"/>
          <w:lang w:val="en-US" w:eastAsia="zh-CN"/>
        </w:rPr>
        <w:t>4.5</w:t>
      </w:r>
      <w:r>
        <w:rPr>
          <w:rFonts w:hint="eastAsia" w:ascii="仿宋_GB2312" w:eastAsia="仿宋_GB2312"/>
          <w:color w:val="000000"/>
          <w:sz w:val="32"/>
          <w:szCs w:val="32"/>
        </w:rPr>
        <w:t>万余吨，内地监管棉0.3万吨</w:t>
      </w:r>
      <w:r>
        <w:rPr>
          <w:rFonts w:hint="eastAsia" w:ascii="仿宋_GB2312" w:eastAsia="仿宋_GB2312"/>
          <w:color w:val="000000"/>
          <w:sz w:val="32"/>
          <w:szCs w:val="32"/>
          <w:lang w:eastAsia="zh-CN"/>
        </w:rPr>
        <w:t>；</w:t>
      </w:r>
      <w:r>
        <w:rPr>
          <w:rFonts w:hint="eastAsia" w:ascii="仿宋_GB2312" w:eastAsia="仿宋_GB2312"/>
          <w:color w:val="000000"/>
          <w:sz w:val="32"/>
          <w:szCs w:val="32"/>
        </w:rPr>
        <w:t>完成食品监督抽检</w:t>
      </w:r>
      <w:r>
        <w:rPr>
          <w:rFonts w:hint="eastAsia" w:ascii="仿宋_GB2312" w:eastAsia="仿宋_GB2312"/>
          <w:color w:val="000000"/>
          <w:sz w:val="32"/>
          <w:szCs w:val="32"/>
          <w:lang w:val="en-US" w:eastAsia="zh-CN"/>
        </w:rPr>
        <w:t>884</w:t>
      </w:r>
      <w:r>
        <w:rPr>
          <w:rFonts w:hint="eastAsia" w:ascii="仿宋_GB2312" w:eastAsia="仿宋_GB2312"/>
          <w:color w:val="000000"/>
          <w:sz w:val="32"/>
          <w:szCs w:val="32"/>
        </w:rPr>
        <w:t>批次，检出不合格</w:t>
      </w:r>
      <w:r>
        <w:rPr>
          <w:rFonts w:hint="eastAsia" w:ascii="仿宋_GB2312" w:eastAsia="仿宋_GB2312"/>
          <w:color w:val="000000"/>
          <w:sz w:val="32"/>
          <w:szCs w:val="32"/>
          <w:lang w:val="en-US" w:eastAsia="zh-CN"/>
        </w:rPr>
        <w:t>27</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，食品委托检验97批次，粮食风险监测抽检372批次；完成药品监督抽检444批次，检出不合格1批次，药品委托检验114批次；</w:t>
      </w:r>
      <w:r>
        <w:rPr>
          <w:rFonts w:hint="eastAsia" w:ascii="仿宋_GB2312" w:eastAsia="仿宋_GB2312"/>
          <w:color w:val="000000"/>
          <w:sz w:val="32"/>
          <w:szCs w:val="32"/>
        </w:rPr>
        <w:t>完成农产品例行监测、风险监测、监督抽查任务</w:t>
      </w:r>
      <w:r>
        <w:rPr>
          <w:rFonts w:hint="eastAsia" w:ascii="仿宋_GB2312" w:eastAsia="仿宋_GB2312"/>
          <w:color w:val="000000"/>
          <w:sz w:val="32"/>
          <w:szCs w:val="32"/>
          <w:lang w:val="en-US" w:eastAsia="zh-CN"/>
        </w:rPr>
        <w:t>2846</w:t>
      </w:r>
      <w:r>
        <w:rPr>
          <w:rFonts w:hint="eastAsia" w:ascii="仿宋_GB2312" w:eastAsia="仿宋_GB2312"/>
          <w:color w:val="000000"/>
          <w:sz w:val="32"/>
          <w:szCs w:val="32"/>
        </w:rPr>
        <w:t>批次，检出不合格</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批次</w:t>
      </w:r>
      <w:r>
        <w:rPr>
          <w:rFonts w:hint="eastAsia" w:ascii="仿宋_GB2312" w:eastAsia="仿宋_GB2312"/>
          <w:color w:val="000000"/>
          <w:sz w:val="32"/>
          <w:szCs w:val="32"/>
          <w:lang w:eastAsia="zh-CN"/>
        </w:rPr>
        <w:t>；</w:t>
      </w:r>
      <w:r>
        <w:rPr>
          <w:rFonts w:hint="eastAsia" w:ascii="仿宋_GB2312" w:eastAsia="仿宋_GB2312"/>
          <w:color w:val="000000"/>
          <w:sz w:val="32"/>
          <w:szCs w:val="32"/>
        </w:rPr>
        <w:t>完成强检计量器具检定</w:t>
      </w:r>
      <w:r>
        <w:rPr>
          <w:rFonts w:hint="eastAsia" w:ascii="仿宋_GB2312" w:eastAsia="仿宋_GB2312"/>
          <w:color w:val="000000"/>
          <w:sz w:val="32"/>
          <w:szCs w:val="32"/>
          <w:lang w:val="en-US" w:eastAsia="zh-CN"/>
        </w:rPr>
        <w:t>60249</w:t>
      </w:r>
      <w:r>
        <w:rPr>
          <w:rFonts w:hint="eastAsia" w:ascii="仿宋_GB2312" w:eastAsia="仿宋_GB2312"/>
          <w:color w:val="000000"/>
          <w:sz w:val="32"/>
          <w:szCs w:val="32"/>
        </w:rPr>
        <w:t>台件非强检计量器具检定</w:t>
      </w:r>
      <w:r>
        <w:rPr>
          <w:rFonts w:hint="eastAsia" w:ascii="仿宋_GB2312" w:eastAsia="仿宋_GB2312"/>
          <w:color w:val="000000"/>
          <w:sz w:val="32"/>
          <w:szCs w:val="32"/>
          <w:lang w:val="en-US" w:eastAsia="zh-CN"/>
        </w:rPr>
        <w:t>17104</w:t>
      </w:r>
      <w:r>
        <w:rPr>
          <w:rFonts w:hint="eastAsia" w:ascii="仿宋_GB2312" w:eastAsia="仿宋_GB2312"/>
          <w:color w:val="000000"/>
          <w:sz w:val="32"/>
          <w:szCs w:val="32"/>
        </w:rPr>
        <w:t>台件。</w:t>
      </w:r>
    </w:p>
    <w:p w14:paraId="2B6D2E82">
      <w:pPr>
        <w:pStyle w:val="2"/>
        <w:numPr>
          <w:ilvl w:val="0"/>
          <w:numId w:val="4"/>
        </w:numPr>
        <w:ind w:left="0" w:leftChars="0" w:firstLine="640" w:firstLineChars="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sz w:val="32"/>
          <w:szCs w:val="32"/>
          <w:lang w:val="en-US" w:eastAsia="zh-CN"/>
        </w:rPr>
        <w:t>社会效应</w:t>
      </w:r>
    </w:p>
    <w:p w14:paraId="0F603F52">
      <w:pPr>
        <w:pStyle w:val="2"/>
        <w:numPr>
          <w:ilvl w:val="0"/>
          <w:numId w:val="0"/>
        </w:numPr>
        <w:rPr>
          <w:rFonts w:hint="eastAsia" w:ascii="仿宋_GB2312" w:hAnsi="仿宋" w:eastAsia="仿宋_GB2312" w:cs="Times New Roman"/>
          <w:color w:val="000000"/>
          <w:kern w:val="0"/>
          <w:sz w:val="32"/>
          <w:szCs w:val="32"/>
          <w:lang w:val="en-US" w:eastAsia="zh-CN" w:bidi="ar-SA"/>
        </w:rPr>
      </w:pPr>
      <w:r>
        <w:rPr>
          <w:rFonts w:hint="eastAsia" w:ascii="仿宋_GB2312" w:hAnsi="仿宋" w:eastAsia="仿宋_GB2312" w:cs="Times New Roman"/>
          <w:color w:val="000000"/>
          <w:kern w:val="0"/>
          <w:sz w:val="32"/>
          <w:szCs w:val="32"/>
          <w:lang w:val="en-US" w:eastAsia="zh-CN" w:bidi="ar-SA"/>
        </w:rPr>
        <w:t>一</w:t>
      </w:r>
      <w:r>
        <w:rPr>
          <w:rFonts w:hint="eastAsia" w:ascii="仿宋_GB2312" w:hAnsi="仿宋_GB2312" w:eastAsia="仿宋_GB2312" w:cs="仿宋_GB2312"/>
          <w:color w:val="000000"/>
          <w:sz w:val="32"/>
          <w:szCs w:val="32"/>
          <w:lang w:val="en-US" w:eastAsia="zh-CN"/>
        </w:rPr>
        <w:t>、</w:t>
      </w:r>
      <w:r>
        <w:rPr>
          <w:rFonts w:hint="eastAsia" w:ascii="仿宋_GB2312" w:hAnsi="仿宋" w:eastAsia="仿宋_GB2312" w:cs="Times New Roman"/>
          <w:color w:val="000000"/>
          <w:kern w:val="0"/>
          <w:sz w:val="32"/>
          <w:szCs w:val="32"/>
          <w:lang w:val="en-US" w:eastAsia="zh-CN" w:bidi="ar-SA"/>
        </w:rPr>
        <w:t>中心大力倡导科研立本，努力在科研立项上不断取得新突破、新成绩、新亮点。参加《湖南省中药材标准》三木通、显齿蛇葡萄、三七花三个标准的修订。</w:t>
      </w:r>
    </w:p>
    <w:p w14:paraId="0B4CEE83">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 w:hAnsi="仿宋" w:eastAsia="仿宋" w:cs="仿宋"/>
          <w:b w:val="0"/>
          <w:bCs w:val="0"/>
          <w:color w:val="000000"/>
          <w:sz w:val="32"/>
          <w:szCs w:val="32"/>
          <w:lang w:val="en-US" w:eastAsia="zh-CN"/>
        </w:rPr>
      </w:pPr>
      <w:r>
        <w:rPr>
          <w:rFonts w:hint="eastAsia" w:ascii="仿宋_GB2312" w:hAnsi="仿宋" w:eastAsia="仿宋_GB2312" w:cs="Times New Roman"/>
          <w:color w:val="000000"/>
          <w:kern w:val="0"/>
          <w:sz w:val="32"/>
          <w:szCs w:val="32"/>
          <w:lang w:val="en-US" w:eastAsia="zh-CN" w:bidi="ar-SA"/>
        </w:rPr>
        <w:t>二</w:t>
      </w:r>
      <w:r>
        <w:rPr>
          <w:rFonts w:hint="eastAsia" w:ascii="仿宋_GB2312" w:hAnsi="仿宋_GB2312" w:eastAsia="仿宋_GB2312" w:cs="仿宋_GB2312"/>
          <w:color w:val="000000"/>
          <w:sz w:val="32"/>
          <w:szCs w:val="32"/>
          <w:lang w:val="en-US" w:eastAsia="zh-CN"/>
        </w:rPr>
        <w:t>、</w:t>
      </w:r>
      <w:r>
        <w:rPr>
          <w:rFonts w:hint="eastAsia" w:ascii="仿宋" w:hAnsi="仿宋" w:eastAsia="仿宋" w:cs="仿宋"/>
          <w:color w:val="000000"/>
          <w:sz w:val="32"/>
          <w:szCs w:val="32"/>
          <w:lang w:val="en-US" w:eastAsia="zh-CN"/>
        </w:rPr>
        <w:t>高质量完成省计量处《关于批准2024年度新建社会公用计量标准项目的通知》中我市四项新建计量高标考核。</w:t>
      </w:r>
      <w:r>
        <w:rPr>
          <w:rFonts w:hint="eastAsia" w:ascii="仿宋" w:hAnsi="仿宋" w:eastAsia="仿宋" w:cs="仿宋"/>
          <w:b w:val="0"/>
          <w:bCs w:val="0"/>
          <w:color w:val="000000"/>
          <w:sz w:val="32"/>
          <w:szCs w:val="32"/>
          <w:lang w:val="en-US" w:eastAsia="zh-CN"/>
        </w:rPr>
        <w:t>这次新建的4项计量标准中有耳温计检定装置、人体电子温度计检定装置、综合验光仪检定装置、尿素加注机检定装置等，建标完成后将极大的满足我市生产生活的需求，解决群众身边的切身计量问题，同时提升我所的技术能力和业务水平。</w:t>
      </w:r>
    </w:p>
    <w:p w14:paraId="3A822323">
      <w:pPr>
        <w:pStyle w:val="2"/>
        <w:numPr>
          <w:ilvl w:val="0"/>
          <w:numId w:val="0"/>
        </w:numPr>
        <w:rPr>
          <w:rFonts w:hint="eastAsia" w:ascii="仿宋_GB2312" w:hAnsi="仿宋_GB2312" w:eastAsia="仿宋_GB2312" w:cs="仿宋_GB2312"/>
          <w:color w:val="FF0000"/>
          <w:sz w:val="32"/>
          <w:szCs w:val="32"/>
          <w:lang w:val="en-US" w:eastAsia="zh-CN"/>
        </w:rPr>
      </w:pPr>
      <w:r>
        <w:rPr>
          <w:rFonts w:hint="eastAsia" w:ascii="仿宋" w:hAnsi="仿宋" w:eastAsia="仿宋" w:cs="仿宋"/>
          <w:color w:val="000000"/>
          <w:sz w:val="32"/>
          <w:szCs w:val="32"/>
          <w:lang w:val="en-US" w:eastAsia="zh-CN"/>
        </w:rPr>
        <w:t>持续开展“计量服务中小企业行”共帮扶5家企业，分别为</w:t>
      </w:r>
      <w:r>
        <w:rPr>
          <w:rFonts w:hint="eastAsia" w:ascii="仿宋" w:hAnsi="仿宋" w:eastAsia="仿宋" w:cs="仿宋"/>
          <w:color w:val="000000"/>
          <w:sz w:val="32"/>
          <w:szCs w:val="32"/>
          <w:vertAlign w:val="baseline"/>
          <w:lang w:val="en-US" w:eastAsia="zh-CN"/>
        </w:rPr>
        <w:t>岳阳金瀚高新技术股份有限公司、湖南堂市食品有限公司、湖南不二家食品有限公司、湖南格美特生物科技有限公司、岳阳正和建材科技有限公司等，为他们减免检定费约5万元。</w:t>
      </w:r>
    </w:p>
    <w:p w14:paraId="785F8E53">
      <w:pPr>
        <w:pStyle w:val="2"/>
        <w:numPr>
          <w:ilvl w:val="0"/>
          <w:numId w:val="4"/>
        </w:numPr>
        <w:ind w:left="0" w:leftChars="0" w:firstLine="64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可持续发展能力</w:t>
      </w:r>
    </w:p>
    <w:p w14:paraId="75541811">
      <w:pPr>
        <w:pStyle w:val="2"/>
        <w:numPr>
          <w:ilvl w:val="0"/>
          <w:numId w:val="0"/>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中心坚持强基固本，提升基础技术能力，紧贴政府经济工作，适应检验检定市场需求，合理的开发和利用资源，实现科学管理服务社会可持续发展。</w:t>
      </w:r>
    </w:p>
    <w:p w14:paraId="5568C65B">
      <w:pPr>
        <w:pStyle w:val="2"/>
        <w:numPr>
          <w:ilvl w:val="0"/>
          <w:numId w:val="4"/>
        </w:numPr>
        <w:ind w:left="0" w:leftChars="0" w:firstLine="640" w:firstLineChars="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服务对象满意度</w:t>
      </w:r>
    </w:p>
    <w:p w14:paraId="198E9DE8">
      <w:pPr>
        <w:pStyle w:val="2"/>
        <w:numPr>
          <w:ilvl w:val="0"/>
          <w:numId w:val="0"/>
        </w:numPr>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2024年市食品、药品、农产品、保健品、化妆品、医疗器械、棉花及棉花制品、纤维制品、磁力设备的检验服务企业满意度99%。</w:t>
      </w:r>
    </w:p>
    <w:p w14:paraId="09805E01">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09E49FD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（一）预算编制与实际支出项目存在差异，预算编制有待更严格的执行。</w:t>
      </w:r>
    </w:p>
    <w:p w14:paraId="487715F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（二）虽然实施绩效管理后财政预算资金管理精细化水平已有所提高，但在部分绩效指标设置的精准性、合理性上有待进一步改善。</w:t>
      </w:r>
    </w:p>
    <w:p w14:paraId="4E45C63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（三）固定资产管理不够规范，调拨、处置等程序有待不够及时。</w:t>
      </w:r>
    </w:p>
    <w:p w14:paraId="3502617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eastAsia="仿宋_GB2312"/>
          <w:lang w:val="en-US" w:eastAsia="zh-CN"/>
        </w:rPr>
      </w:pPr>
      <w:r>
        <w:rPr>
          <w:rFonts w:hint="default" w:ascii="Times New Roman" w:hAnsi="Times New Roman" w:eastAsia="仿宋_GB2312" w:cs="Times New Roman"/>
          <w:sz w:val="32"/>
          <w:szCs w:val="32"/>
          <w:highlight w:val="none"/>
        </w:rPr>
        <w:t>（四）财政财务管理越来越规范，对内部控制管理、资产管理、预算绩效管理、新政府会计制度核算管理等对财务人员专业素质要求越来越高。</w:t>
      </w:r>
    </w:p>
    <w:p w14:paraId="23E388B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14:paraId="71FFFDC6">
      <w:pPr>
        <w:pStyle w:val="2"/>
        <w:ind w:firstLine="620" w:firstLineChars="200"/>
        <w:rPr>
          <w:rFonts w:hint="default"/>
        </w:rPr>
      </w:pPr>
      <w:r>
        <w:rPr>
          <w:rFonts w:hint="default"/>
        </w:rPr>
        <w:t>（一）严格按照预算规定的项目和用途开展财务审计，经费支出严格按预算规定项目的财务支出内容进行财务预算，在预算金额内严控费用支出。推动建立过紧日子的长效机制。推进预算一体化系统建设，使预算管理水平更上台阶。加强预算绩效管理，从数量、质量、成本和时效等方面进行绩效目标细化，进一步提高预算绩效目标制定的科学性、合理性。项目实施过程中，加强预算绩效执行监控，跟踪实施动态绩效，不断提高财政资金使用效益；</w:t>
      </w:r>
    </w:p>
    <w:p w14:paraId="53DC0766">
      <w:pPr>
        <w:pStyle w:val="2"/>
        <w:ind w:firstLine="620" w:firstLineChars="200"/>
        <w:rPr>
          <w:rFonts w:hint="default"/>
        </w:rPr>
      </w:pPr>
      <w:r>
        <w:rPr>
          <w:rFonts w:hint="default"/>
        </w:rPr>
        <w:t>（二）规范账务处理，提高财务信息质量。严格按照《会计法》、《事业单位会计制度》、《事业单位财务规则》等规定执行财务核算，并结合实际情况，完整、准确地披露相关信息。</w:t>
      </w:r>
    </w:p>
    <w:p w14:paraId="1789DFDC">
      <w:pPr>
        <w:pStyle w:val="2"/>
        <w:ind w:firstLine="620" w:firstLineChars="200"/>
        <w:rPr>
          <w:rFonts w:hint="default"/>
        </w:rPr>
      </w:pPr>
      <w:r>
        <w:rPr>
          <w:rFonts w:hint="default"/>
        </w:rPr>
        <w:t>（三）加强固定资产管理，提高固定资产利用率，对调拨和处置的资产及时进行账务处理，做到账实相符。</w:t>
      </w:r>
    </w:p>
    <w:p w14:paraId="70476CB8">
      <w:pPr>
        <w:pStyle w:val="2"/>
        <w:ind w:firstLine="620" w:firstLineChars="200"/>
        <w:rPr>
          <w:rFonts w:hint="default"/>
        </w:rPr>
      </w:pPr>
      <w:r>
        <w:rPr>
          <w:rFonts w:hint="default"/>
        </w:rPr>
        <w:t>（四）加强事业单位会计制度和新预算法的学习培训，落实预算执行分析，及时了解预算执行差异，合理调整、纠正预算执行偏差，切实提高部门预算收支管理水平。</w:t>
      </w:r>
    </w:p>
    <w:p w14:paraId="5E99F770">
      <w:pPr>
        <w:pStyle w:val="2"/>
        <w:ind w:firstLine="620" w:firstLineChars="200"/>
        <w:rPr>
          <w:rFonts w:hint="eastAsia" w:eastAsia="仿宋"/>
          <w:lang w:eastAsia="zh-CN"/>
        </w:rPr>
      </w:pPr>
      <w:r>
        <w:rPr>
          <w:rFonts w:hint="eastAsia"/>
          <w:lang w:eastAsia="zh-CN"/>
        </w:rPr>
        <w:t>（五）针对重点项目绩效评价，加强事前事中事后监管，保障资金使用效率，引入第三方专业机构进行绩效监控及后评价工作。进一步细化指标，量化资金效率考核。</w:t>
      </w:r>
    </w:p>
    <w:p w14:paraId="51C11C0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7B0E863B">
      <w:pPr>
        <w:pStyle w:val="2"/>
        <w:ind w:firstLine="620" w:firstLineChars="200"/>
        <w:rPr>
          <w:rFonts w:hint="default"/>
        </w:rPr>
      </w:pPr>
      <w:r>
        <w:rPr>
          <w:rFonts w:hint="default"/>
        </w:rPr>
        <w:t>（一）通过绩效自评，进一步掌握了资金使用情况和取得的效果，总结了专项资金管理经验，为今后完善年初预算编制、加强资金使用管理、健全资金支出项目、提高资金绩效管理、加大资金使用效益工作提供了重要的参考依据。</w:t>
      </w:r>
    </w:p>
    <w:p w14:paraId="38D78F04">
      <w:pPr>
        <w:pStyle w:val="2"/>
        <w:ind w:firstLine="620" w:firstLineChars="200"/>
        <w:rPr>
          <w:rFonts w:hint="default"/>
        </w:rPr>
      </w:pPr>
      <w:r>
        <w:rPr>
          <w:rFonts w:hint="default"/>
        </w:rPr>
        <w:t>（二）部门整体支出绩效自评报告按照财政要求在规定时间内在主管单位门户网站上进行公开，接受社会监督。</w:t>
      </w:r>
    </w:p>
    <w:p w14:paraId="2CF583A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14:paraId="577A6343">
      <w:pPr>
        <w:pStyle w:val="2"/>
        <w:rPr>
          <w:rFonts w:hint="default"/>
          <w:lang w:val="en-US" w:eastAsia="zh-CN"/>
        </w:rPr>
      </w:pPr>
      <w:r>
        <w:rPr>
          <w:rFonts w:hint="eastAsia" w:ascii="Times New Roman" w:hAnsi="Times New Roman" w:eastAsia="黑体" w:cs="Times New Roman"/>
          <w:sz w:val="32"/>
          <w:szCs w:val="32"/>
          <w:highlight w:val="none"/>
          <w:lang w:val="en-US" w:eastAsia="zh-CN"/>
        </w:rPr>
        <w:t xml:space="preserve">   </w:t>
      </w:r>
      <w:r>
        <w:rPr>
          <w:rFonts w:hint="eastAsia"/>
          <w:lang w:val="en-US" w:eastAsia="zh-CN"/>
        </w:rPr>
        <w:t>无</w:t>
      </w:r>
    </w:p>
    <w:p w14:paraId="7125964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65C796F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23071A0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63758EC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5B618BC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1006D4E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552AC95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09F5483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17FFE497">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14:paraId="26F56936">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4"/>
        <w:tblW w:w="9941" w:type="dxa"/>
        <w:jc w:val="center"/>
        <w:tblLayout w:type="fixed"/>
        <w:tblCellMar>
          <w:top w:w="0" w:type="dxa"/>
          <w:left w:w="108" w:type="dxa"/>
          <w:bottom w:w="0" w:type="dxa"/>
          <w:right w:w="108" w:type="dxa"/>
        </w:tblCellMar>
      </w:tblPr>
      <w:tblGrid>
        <w:gridCol w:w="745"/>
        <w:gridCol w:w="1174"/>
        <w:gridCol w:w="5000"/>
        <w:gridCol w:w="3022"/>
      </w:tblGrid>
      <w:tr w14:paraId="72671754">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4F531E2">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14:paraId="34F4974D">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14:paraId="56472429">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14:paraId="053E25F3">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14:paraId="5375D8CC">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14:paraId="7BE198C3">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14:paraId="28BC9AC4">
            <w:pPr>
              <w:spacing w:line="300" w:lineRule="exact"/>
              <w:jc w:val="center"/>
              <w:rPr>
                <w:rFonts w:hint="default" w:ascii="Times New Roman" w:hAnsi="Times New Roman" w:eastAsia="仿宋_GB2312" w:cs="Times New Roman"/>
                <w:sz w:val="20"/>
                <w:szCs w:val="20"/>
                <w:highlight w:val="none"/>
              </w:rPr>
            </w:pPr>
          </w:p>
          <w:p w14:paraId="61B587CA">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14:paraId="4B0C4502">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14:paraId="044B9A26">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14:paraId="650DF28B">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14:paraId="163ECC7C">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14:paraId="1B3D7A42">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14:paraId="30BB6E1E">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14:paraId="37027009">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78CF5FF4">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14:paraId="0ADC0BF6">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14:paraId="7AC42CFD">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14:paraId="73F1893D">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14:paraId="3B170643">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14:paraId="0DD9B01F">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14:paraId="4B2B6E86">
            <w:pPr>
              <w:spacing w:line="300" w:lineRule="exact"/>
              <w:jc w:val="center"/>
              <w:rPr>
                <w:rFonts w:hint="default" w:ascii="Times New Roman" w:hAnsi="Times New Roman" w:eastAsia="仿宋_GB2312" w:cs="Times New Roman"/>
                <w:sz w:val="20"/>
                <w:szCs w:val="20"/>
                <w:highlight w:val="none"/>
              </w:rPr>
            </w:pPr>
          </w:p>
          <w:p w14:paraId="7545183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14:paraId="767B6A19">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14:paraId="56209664">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14:paraId="71C47755">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14:paraId="5263C2FC">
            <w:pPr>
              <w:numPr>
                <w:ilvl w:val="0"/>
                <w:numId w:val="5"/>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14:paraId="334D6F5A">
            <w:pPr>
              <w:numPr>
                <w:ilvl w:val="0"/>
                <w:numId w:val="5"/>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14:paraId="050AA873">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14:paraId="4085BBB2">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14:paraId="2341397F">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14:paraId="77593FF9">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14:paraId="12B62A0A">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14:paraId="05A3C873">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14:paraId="06F84901">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14:paraId="591AB06F">
            <w:pPr>
              <w:spacing w:line="300" w:lineRule="exact"/>
              <w:jc w:val="center"/>
              <w:rPr>
                <w:rFonts w:hint="default" w:ascii="Times New Roman" w:hAnsi="Times New Roman" w:eastAsia="仿宋_GB2312" w:cs="Times New Roman"/>
                <w:sz w:val="20"/>
                <w:szCs w:val="20"/>
                <w:highlight w:val="none"/>
              </w:rPr>
            </w:pPr>
          </w:p>
          <w:p w14:paraId="44AAB3EF">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14:paraId="6A9BD2DB">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14:paraId="1534F97D">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18E7F871">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14:paraId="034B9B85">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14:paraId="6802BC95">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777B7DCD">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14:paraId="1DF1081B">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14:paraId="5433693B">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14:paraId="20C8F03F">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3FA60D0B">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14:paraId="49163AFB">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14:paraId="4426B443">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14:paraId="0A6EA805">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7D2E4D7C">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2CE196F8">
            <w:pPr>
              <w:jc w:val="center"/>
              <w:rPr>
                <w:rFonts w:hint="default" w:ascii="Times New Roman" w:hAnsi="Times New Roman" w:cs="Times New Roman"/>
                <w:highlight w:val="none"/>
              </w:rPr>
            </w:pPr>
          </w:p>
          <w:p w14:paraId="4658FFDC">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14:paraId="22C43B38">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14:paraId="58598401">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6BF88280">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14:paraId="56FE08CC">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48D90B4E">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66BDB115">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14:paraId="24B48565">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699004AE">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14:paraId="19E6FF2A">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CD10F7B">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774D38B">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14:paraId="5AFF2D94">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14:paraId="394B538B">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B9F9D"/>
    <w:multiLevelType w:val="singleLevel"/>
    <w:tmpl w:val="0A7B9F9D"/>
    <w:lvl w:ilvl="0" w:tentative="0">
      <w:start w:val="4"/>
      <w:numFmt w:val="chineseCounting"/>
      <w:suff w:val="nothing"/>
      <w:lvlText w:val="%1、"/>
      <w:lvlJc w:val="left"/>
      <w:rPr>
        <w:rFonts w:hint="eastAsia"/>
      </w:rPr>
    </w:lvl>
  </w:abstractNum>
  <w:abstractNum w:abstractNumId="1">
    <w:nsid w:val="0F1EFDA9"/>
    <w:multiLevelType w:val="singleLevel"/>
    <w:tmpl w:val="0F1EFDA9"/>
    <w:lvl w:ilvl="0" w:tentative="0">
      <w:start w:val="1"/>
      <w:numFmt w:val="chineseCounting"/>
      <w:suff w:val="nothing"/>
      <w:lvlText w:val="%1、"/>
      <w:lvlJc w:val="left"/>
      <w:rPr>
        <w:rFonts w:hint="eastAsia"/>
      </w:rPr>
    </w:lvl>
  </w:abstractNum>
  <w:abstractNum w:abstractNumId="2">
    <w:nsid w:val="5DDF8822"/>
    <w:multiLevelType w:val="singleLevel"/>
    <w:tmpl w:val="5DDF8822"/>
    <w:lvl w:ilvl="0" w:tentative="0">
      <w:start w:val="1"/>
      <w:numFmt w:val="decimal"/>
      <w:suff w:val="nothing"/>
      <w:lvlText w:val="%1、"/>
      <w:lvlJc w:val="left"/>
    </w:lvl>
  </w:abstractNum>
  <w:abstractNum w:abstractNumId="3">
    <w:nsid w:val="6A6882C4"/>
    <w:multiLevelType w:val="singleLevel"/>
    <w:tmpl w:val="6A6882C4"/>
    <w:lvl w:ilvl="0" w:tentative="0">
      <w:start w:val="1"/>
      <w:numFmt w:val="chineseCounting"/>
      <w:suff w:val="nothing"/>
      <w:lvlText w:val="（%1）"/>
      <w:lvlJc w:val="left"/>
      <w:rPr>
        <w:rFonts w:hint="eastAsia"/>
        <w:color w:val="000000" w:themeColor="text1"/>
        <w14:textFill>
          <w14:solidFill>
            <w14:schemeClr w14:val="tx1"/>
          </w14:solidFill>
        </w14:textFill>
      </w:rPr>
    </w:lvl>
  </w:abstractNum>
  <w:abstractNum w:abstractNumId="4">
    <w:nsid w:val="75B5EA59"/>
    <w:multiLevelType w:val="singleLevel"/>
    <w:tmpl w:val="75B5EA59"/>
    <w:lvl w:ilvl="0" w:tentative="0">
      <w:start w:val="2"/>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TVmZGNlYmZlOTRhMTQ1NWQ5YmUzMjZlNzA0ODgifQ=="/>
  </w:docVars>
  <w:rsids>
    <w:rsidRoot w:val="59886344"/>
    <w:rsid w:val="00A566D5"/>
    <w:rsid w:val="012F41F1"/>
    <w:rsid w:val="03791753"/>
    <w:rsid w:val="05816FE5"/>
    <w:rsid w:val="05F257ED"/>
    <w:rsid w:val="068E3768"/>
    <w:rsid w:val="071D689A"/>
    <w:rsid w:val="08986B20"/>
    <w:rsid w:val="08C80DBB"/>
    <w:rsid w:val="094E5430"/>
    <w:rsid w:val="09DE4A06"/>
    <w:rsid w:val="0EA33B28"/>
    <w:rsid w:val="0F864EE8"/>
    <w:rsid w:val="0FBF0E36"/>
    <w:rsid w:val="10AB3168"/>
    <w:rsid w:val="10DD394E"/>
    <w:rsid w:val="146C0DCE"/>
    <w:rsid w:val="167F30CD"/>
    <w:rsid w:val="16F5338F"/>
    <w:rsid w:val="186B3909"/>
    <w:rsid w:val="189866C8"/>
    <w:rsid w:val="19874772"/>
    <w:rsid w:val="1A6158BE"/>
    <w:rsid w:val="1A78230D"/>
    <w:rsid w:val="1AD36C2F"/>
    <w:rsid w:val="1B866CAC"/>
    <w:rsid w:val="1B87601C"/>
    <w:rsid w:val="1E617ECA"/>
    <w:rsid w:val="1F451B9C"/>
    <w:rsid w:val="204D7566"/>
    <w:rsid w:val="24612064"/>
    <w:rsid w:val="262223D6"/>
    <w:rsid w:val="27D74B17"/>
    <w:rsid w:val="2873580A"/>
    <w:rsid w:val="290D6316"/>
    <w:rsid w:val="29523CF4"/>
    <w:rsid w:val="2AAD30C6"/>
    <w:rsid w:val="2ACD39CD"/>
    <w:rsid w:val="2B872B28"/>
    <w:rsid w:val="2D0351A3"/>
    <w:rsid w:val="2E264C0D"/>
    <w:rsid w:val="316B4522"/>
    <w:rsid w:val="32C24615"/>
    <w:rsid w:val="33C5616B"/>
    <w:rsid w:val="35243365"/>
    <w:rsid w:val="36B215AC"/>
    <w:rsid w:val="3AAE3C53"/>
    <w:rsid w:val="3B2A4847"/>
    <w:rsid w:val="3B530501"/>
    <w:rsid w:val="3CA60B04"/>
    <w:rsid w:val="3D07323A"/>
    <w:rsid w:val="3DEB5DFE"/>
    <w:rsid w:val="3DFA4C63"/>
    <w:rsid w:val="40B64CA2"/>
    <w:rsid w:val="41166258"/>
    <w:rsid w:val="42E27C96"/>
    <w:rsid w:val="457D67FC"/>
    <w:rsid w:val="46AC11BC"/>
    <w:rsid w:val="4A512C4F"/>
    <w:rsid w:val="4B4B6AFE"/>
    <w:rsid w:val="4B973398"/>
    <w:rsid w:val="4C68274A"/>
    <w:rsid w:val="4D1B233B"/>
    <w:rsid w:val="4D4607FD"/>
    <w:rsid w:val="4FC926E8"/>
    <w:rsid w:val="50FB4B23"/>
    <w:rsid w:val="53DA4762"/>
    <w:rsid w:val="5575129F"/>
    <w:rsid w:val="55A26E30"/>
    <w:rsid w:val="57FF139C"/>
    <w:rsid w:val="59886344"/>
    <w:rsid w:val="59FE5684"/>
    <w:rsid w:val="5AA91A93"/>
    <w:rsid w:val="5BF31218"/>
    <w:rsid w:val="5E0B19B1"/>
    <w:rsid w:val="5E470C46"/>
    <w:rsid w:val="5F01598D"/>
    <w:rsid w:val="5F90365C"/>
    <w:rsid w:val="61A84853"/>
    <w:rsid w:val="630F6AB9"/>
    <w:rsid w:val="631101D6"/>
    <w:rsid w:val="635404FA"/>
    <w:rsid w:val="63A06C68"/>
    <w:rsid w:val="656F7435"/>
    <w:rsid w:val="661C156E"/>
    <w:rsid w:val="664D277F"/>
    <w:rsid w:val="66746574"/>
    <w:rsid w:val="67594BB8"/>
    <w:rsid w:val="685F3791"/>
    <w:rsid w:val="688D4897"/>
    <w:rsid w:val="689A1DFD"/>
    <w:rsid w:val="6B126A87"/>
    <w:rsid w:val="6D6C2BD8"/>
    <w:rsid w:val="6F0A08FB"/>
    <w:rsid w:val="70310D37"/>
    <w:rsid w:val="719646C8"/>
    <w:rsid w:val="72163DE5"/>
    <w:rsid w:val="72765CD1"/>
    <w:rsid w:val="757833D7"/>
    <w:rsid w:val="77E123D0"/>
    <w:rsid w:val="79022643"/>
    <w:rsid w:val="7A5F5A8B"/>
    <w:rsid w:val="7A7E219D"/>
    <w:rsid w:val="7E724930"/>
    <w:rsid w:val="7EBC7828"/>
    <w:rsid w:val="7F517E80"/>
    <w:rsid w:val="7F697F18"/>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6">
    <w:name w:val="列出段落1"/>
    <w:basedOn w:val="1"/>
    <w:autoRedefine/>
    <w:qFormat/>
    <w:uiPriority w:val="34"/>
    <w:pPr>
      <w:ind w:firstLine="420" w:firstLineChars="200"/>
    </w:pPr>
  </w:style>
  <w:style w:type="paragraph" w:styleId="7">
    <w:name w:val="List Paragraph"/>
    <w:basedOn w:val="1"/>
    <w:autoRedefine/>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459</Words>
  <Characters>591</Characters>
  <Lines>0</Lines>
  <Paragraphs>0</Paragraphs>
  <TotalTime>2</TotalTime>
  <ScaleCrop>false</ScaleCrop>
  <LinksUpToDate>false</LinksUpToDate>
  <CharactersWithSpaces>735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兔大师</cp:lastModifiedBy>
  <cp:lastPrinted>2025-06-19T08:01:00Z</cp:lastPrinted>
  <dcterms:modified xsi:type="dcterms:W3CDTF">2025-07-17T03:43:44Z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48AEB3A074CF46C7989B1C6C0E0D5264_13</vt:lpwstr>
  </property>
  <property fmtid="{D5CDD505-2E9C-101B-9397-08002B2CF9AE}" pid="4" name="KSOTemplateDocerSaveRecord">
    <vt:lpwstr>eyJoZGlkIjoiMmQwNzVlYzhhYTZiMDE2MGIzMjkzZmU0Y2NjMWViNTYiLCJ1c2VySWQiOiI3MzkwMjU5ODYifQ==</vt:lpwstr>
  </property>
</Properties>
</file>