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eastAsia" w:ascii="宋体" w:hAnsi="宋体" w:eastAsia="宋体" w:cs="Times New Roman"/>
          <w:b/>
          <w:bCs/>
          <w:kern w:val="2"/>
          <w:sz w:val="52"/>
          <w:szCs w:val="44"/>
          <w:lang w:val="zh-CN"/>
        </w:rPr>
        <w:t>2024</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整体支出绩效自评报告</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根据要求，我</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专门成立财政支出绩效评价工作小组，组织对</w:t>
      </w:r>
      <w:r>
        <w:rPr>
          <w:rFonts w:hint="eastAsia" w:ascii="宋体" w:hAnsi="宋体" w:eastAsia="宋体" w:cs="Times New Roman"/>
          <w:sz w:val="32"/>
          <w:szCs w:val="24"/>
          <w:lang w:val="zh-CN" w:eastAsia="zh-CN" w:bidi="ar"/>
        </w:rPr>
        <w:t>2024</w:t>
      </w:r>
      <w:r>
        <w:rPr>
          <w:rFonts w:hint="default" w:ascii="宋体" w:hAnsi="宋体" w:eastAsia="宋体" w:cs="Times New Roman"/>
          <w:sz w:val="32"/>
          <w:szCs w:val="24"/>
          <w:lang w:val="zh-CN" w:eastAsia="zh-CN" w:bidi="ar"/>
        </w:rPr>
        <w:t>年度部门整体支出开展了绩效自评。现将有关情况报告如下：</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w:t>
      </w:r>
      <w:r>
        <w:rPr>
          <w:rFonts w:hint="eastAsia" w:ascii="宋体" w:hAnsi="宋体" w:eastAsia="宋体" w:cs="Times New Roman"/>
          <w:sz w:val="32"/>
          <w:szCs w:val="24"/>
          <w:lang w:val="zh-CN" w:eastAsia="zh-CN" w:bidi="ar"/>
        </w:rPr>
        <w:t>单位</w:t>
      </w:r>
      <w:r>
        <w:rPr>
          <w:rFonts w:hint="default" w:ascii="宋体" w:hAnsi="宋体" w:eastAsia="宋体" w:cs="Times New Roman"/>
          <w:sz w:val="32"/>
          <w:szCs w:val="24"/>
          <w:lang w:val="zh-CN" w:eastAsia="zh-CN" w:bidi="ar"/>
        </w:rPr>
        <w:t>概况</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（一）基本情况</w:t>
      </w:r>
    </w:p>
    <w:p>
      <w:pPr>
        <w:keepNext w:val="0"/>
        <w:keepLines w:val="0"/>
        <w:pageBreakBefore w:val="0"/>
        <w:widowControl/>
        <w:kinsoku/>
        <w:wordWrap/>
        <w:overflowPunct/>
        <w:topLinePunct w:val="0"/>
        <w:autoSpaceDE/>
        <w:autoSpaceDN/>
        <w:bidi w:val="0"/>
        <w:adjustRightInd/>
        <w:snapToGrid/>
        <w:spacing w:before="100" w:line="560" w:lineRule="atLeast"/>
        <w:ind w:left="545" w:right="16" w:firstLine="729"/>
        <w:textAlignment w:val="auto"/>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岳阳市农业农村事务中心（市农业广播电视学校）内设</w:t>
      </w:r>
      <w:r>
        <w:rPr>
          <w:rFonts w:hint="eastAsia" w:ascii="宋体" w:hAnsi="宋体" w:eastAsia="宋体" w:cs="Times New Roman"/>
          <w:sz w:val="32"/>
          <w:szCs w:val="24"/>
          <w:lang w:val="en-US" w:eastAsia="zh-CN" w:bidi="ar"/>
        </w:rPr>
        <w:t>6个内设</w:t>
      </w:r>
      <w:r>
        <w:rPr>
          <w:rFonts w:hint="eastAsia" w:ascii="宋体" w:hAnsi="宋体" w:eastAsia="宋体" w:cs="Times New Roman"/>
          <w:sz w:val="32"/>
          <w:szCs w:val="24"/>
          <w:lang w:val="zh-CN" w:eastAsia="zh-CN" w:bidi="ar"/>
        </w:rPr>
        <w:t>机构</w:t>
      </w:r>
      <w:r>
        <w:rPr>
          <w:rFonts w:hint="eastAsia" w:ascii="宋体" w:hAnsi="宋体" w:eastAsia="宋体" w:cs="Times New Roman"/>
          <w:sz w:val="32"/>
          <w:szCs w:val="24"/>
          <w:lang w:val="en-US" w:eastAsia="zh-CN" w:bidi="ar"/>
        </w:rPr>
        <w:t>1个分支机构</w:t>
      </w:r>
      <w:r>
        <w:rPr>
          <w:rFonts w:hint="eastAsia" w:ascii="宋体" w:hAnsi="宋体" w:eastAsia="宋体" w:cs="Times New Roman"/>
          <w:sz w:val="32"/>
          <w:szCs w:val="24"/>
          <w:lang w:val="zh-CN" w:eastAsia="zh-CN" w:bidi="ar"/>
        </w:rPr>
        <w:t>。五</w:t>
      </w:r>
      <w:r>
        <w:rPr>
          <w:rFonts w:hint="eastAsia" w:ascii="宋体" w:hAnsi="宋体" w:eastAsia="宋体" w:cs="Times New Roman"/>
          <w:sz w:val="32"/>
          <w:szCs w:val="24"/>
          <w:lang w:val="en-US" w:eastAsia="zh-CN" w:bidi="ar"/>
        </w:rPr>
        <w:t>个内设</w:t>
      </w:r>
      <w:r>
        <w:rPr>
          <w:rFonts w:hint="eastAsia" w:ascii="宋体" w:hAnsi="宋体" w:eastAsia="宋体" w:cs="Times New Roman"/>
          <w:sz w:val="32"/>
          <w:szCs w:val="24"/>
          <w:lang w:val="zh-CN" w:eastAsia="zh-CN" w:bidi="ar"/>
        </w:rPr>
        <w:t>机构(一)综合部。负责中心日常运转，承担文电、会务、安全、保密、人事、宣传、信访、财务、档案、政务公开管理等工作；承担农村集体产权交易、农村承包地经营权流转等农村事务的行政辅助工作。(二)种植业事务部。承担种植业新技术、新品种和新模式引进、试验与示范推广的事务性工作；承担种植业项目组织实施的事务性工作；承担野生植物保护与外来物种(植物)监测、专业性病虫测报体系建设、农作物病虫草鼠害防治、农药包装废弃物回收处置、耕地质量监测网络建设、退化耕地治理的技术支撑工作；承担绿色食品、有机农产品和地理标志农产品认证、品牌推广的事务性工作；承担农产品质量安全追溯平台和湖南省农产品“身份证”管理平台的日常管理工作。(三)畜牧水产事务部。承担畜禽、水产新品种、新技术和新模式的引进、试验与示范推广工作，承担养殖业产业发展项目组织实施的事务性工作；承担养殖业结构调整、产业规划与布局、标准化生产、规模化养殖、畜禽粪污资源化利用的事务性工作；协助开展养殖业生产监测、种畜禽生产性能测定的事务性工作。(四)农机事务部。承担农机新机具、新技术和新模式的引进、试验与示范推广等相关事务性工作；承担农机化发展项目组织实施的事务性工作；承担农机社会化服务、农机产品质量调查等事务性工作。</w:t>
      </w:r>
      <w:bookmarkStart w:id="0" w:name="OLE_LINK2"/>
      <w:r>
        <w:rPr>
          <w:rFonts w:hint="eastAsia" w:ascii="宋体" w:hAnsi="宋体" w:eastAsia="宋体" w:cs="Times New Roman"/>
          <w:sz w:val="32"/>
          <w:szCs w:val="24"/>
          <w:lang w:val="zh-CN" w:eastAsia="zh-CN" w:bidi="ar"/>
        </w:rPr>
        <w:t>(五)农业生态环境监测部(水生动物疫病防控监测部)。</w:t>
      </w:r>
      <w:bookmarkEnd w:id="0"/>
      <w:bookmarkStart w:id="1" w:name="OLE_LINK3"/>
      <w:r>
        <w:rPr>
          <w:rFonts w:hint="eastAsia" w:ascii="宋体" w:hAnsi="宋体" w:eastAsia="宋体" w:cs="Times New Roman"/>
          <w:sz w:val="32"/>
          <w:szCs w:val="24"/>
          <w:lang w:val="zh-CN" w:eastAsia="zh-CN" w:bidi="ar"/>
        </w:rPr>
        <w:t>承担耕地质量、地力监测及土壤肥力长期定位监测工作</w:t>
      </w:r>
      <w:bookmarkEnd w:id="1"/>
      <w:r>
        <w:rPr>
          <w:rFonts w:hint="eastAsia" w:ascii="宋体" w:hAnsi="宋体" w:eastAsia="宋体" w:cs="Times New Roman"/>
          <w:sz w:val="32"/>
          <w:szCs w:val="24"/>
          <w:lang w:val="zh-CN" w:eastAsia="zh-CN" w:bidi="ar"/>
        </w:rPr>
        <w:t>；承担农业面源污染普查工作；承担测土配方施肥等农业环境相关的抽样、制样、检测、评价工作；承担水生动物疫病、渔业环境等监测工作；承担与市检验检测中心相关业务工作对接。(</w:t>
      </w:r>
      <w:r>
        <w:rPr>
          <w:rFonts w:hint="eastAsia" w:ascii="宋体" w:hAnsi="宋体" w:eastAsia="宋体" w:cs="Times New Roman"/>
          <w:sz w:val="32"/>
          <w:szCs w:val="24"/>
          <w:lang w:val="en-US" w:eastAsia="zh-CN" w:bidi="ar"/>
        </w:rPr>
        <w:t>六</w:t>
      </w:r>
      <w:r>
        <w:rPr>
          <w:rFonts w:hint="eastAsia" w:ascii="宋体" w:hAnsi="宋体" w:eastAsia="宋体" w:cs="Times New Roman"/>
          <w:sz w:val="32"/>
          <w:szCs w:val="24"/>
          <w:lang w:val="zh-CN" w:eastAsia="zh-CN" w:bidi="ar"/>
        </w:rPr>
        <w:t>)</w:t>
      </w:r>
      <w:r>
        <w:rPr>
          <w:rFonts w:hint="eastAsia" w:ascii="宋体" w:hAnsi="宋体" w:eastAsia="宋体" w:cs="Times New Roman"/>
          <w:sz w:val="32"/>
          <w:szCs w:val="24"/>
          <w:lang w:val="en-US" w:eastAsia="zh-CN" w:bidi="ar"/>
        </w:rPr>
        <w:t>乡村振兴事务</w:t>
      </w:r>
      <w:r>
        <w:rPr>
          <w:rFonts w:hint="eastAsia" w:ascii="宋体" w:hAnsi="宋体" w:eastAsia="宋体" w:cs="Times New Roman"/>
          <w:sz w:val="32"/>
          <w:szCs w:val="24"/>
          <w:lang w:val="zh-CN" w:eastAsia="zh-CN" w:bidi="ar"/>
        </w:rPr>
        <w:t>部。承担</w:t>
      </w:r>
      <w:r>
        <w:rPr>
          <w:rFonts w:hint="eastAsia" w:ascii="宋体" w:hAnsi="宋体" w:eastAsia="宋体" w:cs="Times New Roman"/>
          <w:sz w:val="32"/>
          <w:szCs w:val="24"/>
          <w:lang w:val="en-US" w:eastAsia="zh-CN" w:bidi="ar"/>
        </w:rPr>
        <w:t>局机关交代和移办的与乡村振兴相关的业务</w:t>
      </w:r>
      <w:r>
        <w:rPr>
          <w:rFonts w:hint="eastAsia" w:ascii="宋体" w:hAnsi="宋体" w:eastAsia="宋体" w:cs="Times New Roman"/>
          <w:sz w:val="32"/>
          <w:szCs w:val="24"/>
          <w:lang w:val="zh-CN" w:eastAsia="zh-CN" w:bidi="ar"/>
        </w:rPr>
        <w:t>。（</w:t>
      </w:r>
      <w:r>
        <w:rPr>
          <w:rFonts w:hint="eastAsia" w:ascii="宋体" w:hAnsi="宋体" w:eastAsia="宋体" w:cs="Times New Roman"/>
          <w:sz w:val="32"/>
          <w:szCs w:val="24"/>
          <w:lang w:val="en-US" w:eastAsia="zh-CN" w:bidi="ar"/>
        </w:rPr>
        <w:t>七</w:t>
      </w:r>
      <w:r>
        <w:rPr>
          <w:rFonts w:hint="eastAsia" w:ascii="宋体" w:hAnsi="宋体" w:eastAsia="宋体" w:cs="Times New Roman"/>
          <w:sz w:val="32"/>
          <w:szCs w:val="24"/>
          <w:lang w:val="zh-CN" w:eastAsia="zh-CN" w:bidi="ar"/>
        </w:rPr>
        <w:t>）设1个分支机构市农业教育培训工作站。承担涉农的业务培训、产业培训和技术培训项目并组织实施的事务性工作；承担农民职业技能鉴定、农业声像宣传和管理的事务性工作；承担组织农民体育赛事活动。</w:t>
      </w:r>
    </w:p>
    <w:p>
      <w:pPr>
        <w:spacing w:before="156" w:beforeLines="50" w:after="156" w:afterLines="50" w:line="560" w:lineRule="exact"/>
        <w:ind w:firstLine="643" w:firstLineChars="200"/>
        <w:rPr>
          <w:rFonts w:hint="default" w:ascii="宋体" w:hAnsi="宋体" w:eastAsia="宋体" w:cs="Times New Roman"/>
          <w:kern w:val="2"/>
          <w:sz w:val="32"/>
          <w:szCs w:val="24"/>
          <w:lang w:val="zh-CN" w:eastAsia="zh-CN" w:bidi="ar"/>
        </w:rPr>
      </w:pPr>
      <w:r>
        <w:rPr>
          <w:rFonts w:hint="default" w:ascii="宋体" w:hAnsi="宋体" w:eastAsia="宋体" w:cs="Times New Roman"/>
          <w:b/>
          <w:bCs/>
          <w:kern w:val="2"/>
          <w:sz w:val="32"/>
          <w:szCs w:val="24"/>
          <w:lang w:val="zh-CN" w:eastAsia="zh-CN" w:bidi="ar"/>
        </w:rPr>
        <w:t>（二）</w:t>
      </w:r>
      <w:r>
        <w:rPr>
          <w:rFonts w:hint="default" w:ascii="宋体" w:hAnsi="宋体" w:eastAsia="宋体" w:cs="Times New Roman"/>
          <w:kern w:val="2"/>
          <w:sz w:val="32"/>
          <w:szCs w:val="24"/>
          <w:lang w:val="zh-CN" w:eastAsia="zh-CN" w:bidi="ar"/>
        </w:rPr>
        <w:t>主要职能</w:t>
      </w:r>
    </w:p>
    <w:p>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en-US" w:eastAsia="zh-CN" w:bidi="ar"/>
        </w:rPr>
        <w:t>市农业</w:t>
      </w:r>
      <w:r>
        <w:rPr>
          <w:rFonts w:hint="eastAsia" w:ascii="宋体" w:hAnsi="宋体" w:eastAsia="宋体" w:cs="Times New Roman"/>
          <w:sz w:val="32"/>
          <w:szCs w:val="24"/>
          <w:lang w:val="en-US" w:eastAsia="zh-CN" w:bidi="ar"/>
        </w:rPr>
        <w:t>农村事务中心</w:t>
      </w:r>
      <w:r>
        <w:rPr>
          <w:rFonts w:hint="default" w:ascii="宋体" w:hAnsi="宋体" w:eastAsia="宋体" w:cs="Times New Roman"/>
          <w:sz w:val="32"/>
          <w:szCs w:val="24"/>
          <w:lang w:val="en-US" w:eastAsia="zh-CN" w:bidi="ar"/>
        </w:rPr>
        <w:t>是由市农业农村局管理的公益一类副处级机构，编制</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个，在职人数</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人，退休人数</w:t>
      </w:r>
      <w:r>
        <w:rPr>
          <w:rFonts w:hint="eastAsia" w:ascii="宋体" w:hAnsi="宋体" w:eastAsia="宋体" w:cs="Times New Roman"/>
          <w:sz w:val="32"/>
          <w:szCs w:val="24"/>
          <w:lang w:val="en-US" w:eastAsia="zh-CN" w:bidi="ar"/>
        </w:rPr>
        <w:t>20</w:t>
      </w:r>
      <w:r>
        <w:rPr>
          <w:rFonts w:hint="default" w:ascii="宋体" w:hAnsi="宋体" w:eastAsia="宋体" w:cs="Times New Roman"/>
          <w:sz w:val="32"/>
          <w:szCs w:val="24"/>
          <w:lang w:val="en-US" w:eastAsia="zh-CN" w:bidi="ar"/>
        </w:rPr>
        <w:t>人。主要职责为：</w:t>
      </w:r>
      <w:r>
        <w:rPr>
          <w:rFonts w:hint="eastAsia" w:ascii="宋体" w:hAnsi="宋体" w:eastAsia="宋体" w:cs="Times New Roman"/>
          <w:b/>
          <w:bCs/>
          <w:sz w:val="32"/>
          <w:szCs w:val="24"/>
          <w:lang w:val="en-US" w:eastAsia="zh-CN" w:bidi="ar"/>
        </w:rPr>
        <w:t>一是</w:t>
      </w:r>
      <w:r>
        <w:rPr>
          <w:rFonts w:hint="eastAsia" w:ascii="宋体" w:hAnsi="宋体" w:eastAsia="宋体" w:cs="Times New Roman"/>
          <w:b/>
          <w:bCs/>
          <w:sz w:val="32"/>
          <w:szCs w:val="24"/>
          <w:lang w:val="zh-CN" w:eastAsia="zh-CN" w:bidi="ar"/>
        </w:rPr>
        <w:t>为机关提供支持保障的职能。</w:t>
      </w:r>
      <w:r>
        <w:rPr>
          <w:rFonts w:hint="eastAsia" w:ascii="宋体" w:hAnsi="宋体" w:eastAsia="宋体" w:cs="Times New Roman"/>
          <w:sz w:val="32"/>
          <w:szCs w:val="24"/>
          <w:lang w:val="zh-CN" w:eastAsia="zh-CN" w:bidi="ar"/>
        </w:rPr>
        <w:t>主要</w:t>
      </w:r>
    </w:p>
    <w:p>
      <w:pPr>
        <w:spacing w:before="156" w:beforeLines="50" w:after="156" w:afterLines="50" w:line="560" w:lineRule="exact"/>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w:t>
      </w:r>
      <w:r>
        <w:rPr>
          <w:rFonts w:hint="eastAsia" w:ascii="宋体" w:hAnsi="宋体" w:eastAsia="宋体" w:cs="Times New Roman"/>
          <w:b/>
          <w:bCs/>
          <w:sz w:val="32"/>
          <w:szCs w:val="24"/>
          <w:lang w:val="zh-CN" w:eastAsia="zh-CN" w:bidi="ar"/>
        </w:rPr>
        <w:t>二是面向社会提供公益服务的职能。</w:t>
      </w:r>
      <w:r>
        <w:rPr>
          <w:rFonts w:hint="eastAsia" w:ascii="宋体" w:hAnsi="宋体" w:eastAsia="宋体" w:cs="Times New Roman"/>
          <w:sz w:val="32"/>
          <w:szCs w:val="24"/>
          <w:lang w:val="zh-CN" w:eastAsia="zh-CN" w:bidi="ar"/>
        </w:rPr>
        <w:t>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2024年，市农业农村事务中心党委坚持以习近平新时代中国特色社会主义思想为指导，在市委市政府和局党组的坚强领导下，凝心聚力，团结奋进，认真履行中心行政辅助和公益服务职能，稳步推进各项工作，圆满完成任务并取得成效，总结如下：</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一、驰而不息，筑牢党建引领思维。一是突出政治引领，强化理论武装。严格落实党委中心组理论学习制度，中心党委把学习习近平思想作为中心各类会议的第一议题,推动学习常态化、制度化。每月下发学习活动计划，组织开展了集中学习或各支部组织学习，牢固树立纪律观念和规矩意识。一年来，先后召开党委会议13次，理论中心组学习12次。6名党员组织党委委员和各支部书记开讲党课，共计4堂。成立青年理论小组，每月组织开展学习活动。二是强化组织建设，夯实党建基础。首先对班子成员和部室负责人分工进行了重新调整，合理调整了党支部设置，优化了3个党支部人员分布，优化了干部队伍；其次是落实主体责任。将党风廉政建设与业务工作同部署、同推进、同考核。制定《中共岳阳市农业农村事务中心2024年度落实全面从严治党工作要点》，践行民主集中制，凡“三重一大”事项，均由班子集体研究决定。再次是强化作风建设，严守廉洁底线。累计开展谈心谈话49人次，及时掌握党员干部思想动向，使每一名同志常怀律己之心、常思贪欲之害，做到知敬畏、存戒惧、守底线。12月13日，市纪委派驻农业农村局纪检组长何雄到中心开展落实全面从严治党工作调研，并与班子成员进行了廉政谈话。最后强化重点监督。主动邀请派驻纪检监察组参与重大事项决策，加强对种养殖业、农机等重点项目的监督管理；严格控制公务接待支出，严格管理各类因公差旅支出，严格公务用车管理；严格遵守各项工作纪律，让党员干部因敬畏而“不敢”、因制度而“不能”、因觉悟而“不想”。</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二、多措并举，保障粮食生产安全。一是抓好春耕备耕。3月6日组织筹备召开了全市种植业工作会议，安排部署全市粮油经作、植保农药、土肥水等粮食生产重点工作。二是抓好技术指导。落实市农业农村局《关于加强2024年岳阳市集中育秧技术指导的通知》要求，成立6个技术指导组，分别赴10个县市区开展早稻集中育秧技术指导工作，查阅了相关台账记录，实地察看了60多个早稻集中育秧点，针对性的开展了技术指导。深入实地了解秋粮作物长势，会同县市区农业农村局完善抗高温干旱技术方案，指导科学抗旱减灾。三是开展技术示范。印发《关于发布2024年度水稻主导品种和主推技术的通知》、发布2024年度水稻主导品种23个，市级主推技术7项，发布《关于抓好当前防旱抗旱工作的提示》和《做好东方田鼠防控预警工作》，避免极端天气对农业生产造成不利影响。积极开展岳阳市2024年“稻+再+菜（油）”机艺融合高产攻关模式示范、玉米大豆带状复合种植绿色防控技术示范、“水稻＋小龙虾”综合种养技术示范、“育秧大棚稻＋小龙虾”综合种养技术示范等多个试验示范项目，通过技术集成，推广减肥减药绿色生产方式。</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三、稳打稳扎，推进“两品一标”创建。一是稳步推进绿色食品、有机农产品的认证登记监管工作。确保新认证和续展产品全面入驻国家农产品质量安全追溯管理信息平台和省农产品“身份证”管理平台，做到覆盖率100%。截止目前，全市绿色食品、有机农产品、农产品地理标志认证有效数达到423个，其中绿色食品374个、有机农产品34个、地理标志农产品15个。二是强化绿色食品基地创建。以绿色食品示范基地为引领，辐射带动全市优质农产品发展，满足人民群众对绿色优质农产品日益增长的需求，采取县市区推荐，市级遴选的方式，对全市范围内绿色食品有效认证基地开展遴选与创建。三是加强绿色食品宣传推广。积极推介岳阳王鸽、樟树港辣椒、长康芝麻油、一碗陈记甜酒、吉娃米业、白石千车岭茶叶等优秀品牌在《湖南都市》频道开展绿色优质农产品品牌公益宣传；结合2024年“绿色食品 健康引领”主题宣传及金秋九月集中宣传，组织道道全菜籽油、平江烟茶绿色食品开展进地铁主题宣传推广活动；组织绿色食品企业参加第二十一届中国国际农产品交易会。</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四、融合创新，完成农药减量和化肥减量增效。一是以统防统治与绿色防控相融合，完成“虫口夺粮”与农药减量任务。通过精准监测预警、推广统防统治、融合绿色防控、开展评价试验等方式，多措并举，融合推进统防统治与绿色防控，有力控制病虫为害，降低农药使用量。2024年，我市粮油作物病虫为害损失率为2.42%，完成省定主要农作物病虫为害损失率控制在5%以内的任务；粮食作物化学农药使用强度76.54克/亩，较去年降低2.35%，经济作物化学农药使用强度119.10克/亩，较去年降低4.36%，完成省定任务。二是以精准施肥与新型模式相融合，完成化肥减量增效任务。制定印发了《岳阳市2024年科学施肥增效工作实施方案》，一年来各项工作有序开展。首先因地制宜精准施肥。开展取土测土、营养诊断、田间肥效试验等基础工作全市采集土壤样品6603个，开展农户施肥调查1058个、田间试验59个。加强测土配方施肥数据管理与应用，精准制定发布肥料配方信息，减少不合理养分投入，测土配方施肥技术推广面积1041.45万亩。其次逐步改良施肥习惯。截至目前，今年全市已完成粪肥还田还田面积29.58万亩。有机肥施用量达141.52万吨，面积达到144.88万亩，大大减少了化肥的使用投入量。出台了《2024年全市绿肥生产指导意见》，完成绿肥推广示范面积24万亩。再次，集成示范新型模式。遴选推荐平江县、临湘市为全省“三新”集成示范项目县，整乡整村推广“三新”配套集成科学施肥增效模式。临湘市推广水稻3种“三新”配套技术模式，创建了2个万亩核心示范片、11个千亩核心示范方。平江县推广茶果经济作物3种“三新”配套技术模式，创建了3个千亩核心示范方。岳阳“三新”工作在第25届全国肥料双交会湖南展馆向全国推介。通过以上方式，顺利通过省级环保督察和中央环保督察。三是以质量监管与包装废弃物回收相融合，完成农药管理任务。按照“双随机”监督抽查原则，例行抽查与专项抽查相结合的方式，严格按抽查要求，在华容县、君山区、云溪区和经开区抽取11家农药经营单位或生产企业，共计45批次农药抽样样品送省进行检验，做到主要农药品类全覆盖，主要销售渠道全覆盖。按照属地管地原则，指导农药生产者、农药经营者和农药使用者依法履行农药包装废弃物回收处理义务，组织开展督促检查全市回收率达81.93%，各县市区回收率均达到省定要求的75%以上。</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五、补齐短板，不断加强农机新技术推广服务。一是2024年在汨罗市罗江镇芈九武农业合作社建立“稻+再+油”机械化种植模式试验示范项目，示范面积100亩。在再生稻传统生产的基础上，探索机械化高产高效栽植模式，开展再生稻宽窄行机抛秧与头季机械化收获试验示范，有效降低碾压率，破解再生稻头季机收难题。二是在配合省农机中心开展一季稻区水稻机械有序精量穴播技术应用试点工作中，我市湘阴县、岳阳县、屈原管理区、华容县、临湘市成为全省一季稻区水稻机械有序精量穴播技术应用试点县。为确保该项目顺利实施，农机事务部紧盯项目县实施主体、技术人员培训、机具保障与购置等重要环节，确保项目顺利推进，指导各试点县完成机收测产工作。该项目的主攻水稻生产机械化薄弱环节，进一步探索水稻机械化栽植新途径。</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三是为解决育秧难题，我中心农机事务部在岳阳县岳军农机合作社推广一种新型具有蓄水功能的钵毯苗育秧硬盘，由于排水孔位于钵体底部凸台上，秧苗不易通过排水孔向下扎根，能充分盘根于钵体中，对秧苗浇灌时，水能储存在钵体底部边壁与凸台中间，起到蓄水作用，并申请了该秧盘的专利。</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六、夯实基层，发挥农广校培训阵地作用。一是分别在汨罗市举办市水稻产业发展带头人培训班、在湘阴县举办市蔬菜产业发展带头人培训班、在岳阳县举办市茶叶产业发展带头人培训班、在临湘市举办市畜牧养殖产业发展带头人培训班，共四期累计培训340余人；二是在10、11、12月分别举办了岳阳市农村创新创业人才培训班、岳阳市粮油作物生产能力提升培训班、岳阳市新型农业经营主体粮食产业发展能力提升培训班共三期高素质农民培训班，累计培训170余人。三是在11月举办了市局帮扶科2024年岳阳市农村电商直播带货能力提升培训班，累计培训250余人。四是协助市局科教科及中心种植业科开展好岳阳市非农专业在编基层农技人员培训工作，累计培训各县市区种植业方向50人，将基层农技推广队伍打造成高效服务乡村振兴的骨干力量。五是组织好“三农”干部省外培训。10月，组织由各县市区省级农民田间学校校长及省级农民田间学校所在县（市、区）农广校的校长或副校长共计14人参加了“三农”干部走出去培训班（省外第一、二期，培训地点在浙江大学继续教育学院）。六是组织农民体育运动。8月由岳阳县农业广播电视学校组队共计9人参加了2024年全省和美乡村村舞培训班，并获得优秀组织奖和团体三等奖。10、11月参加2024年湖南省农民健身气功八段锦指导员培训班，并获得了团体优秀奖。</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七、有序推进，畜牧水产工作稳中有进。一是做实做细了水产品重点品监测工作。根据省里统一安排，岳阳市四个重点养殖品种监测县君山区、岳阳县、华容县、湘阴县，51个监测点,共计监测养殖品种12个。为渔业养殖结构调整和产业发展方向等政策决策提供基础数据支撑，有力支撑渔业高质量发展。二是认真完成2024年全省重大水生动物疫病疫情监测工作。在湘阴县、华容县、岳阳县三个水产大县9个测报点对四大家鱼、小龙虾、鲫鱼、黄颡鱼等开展测报工作，共监测1510公顷水产养殖面积，占三县辖区养殖面积的3.39%。三是奋力推进水生动物疫病防控区域中心建设工作。中心项目建设领导小组，按计划牵头编制完成水生动物疫病防控区域中心建设项目整体验收资料，推动该项目整体验收拟定于今年12月完成验收。四是争创岳阳先进典型。积极组织我市选手参加第六届湖南省级职业（水产）技能竞赛，选手表现优异。我市三人参赛，获个人二等奖一人，个人三等奖一人。团队总分全省前三，获得优秀团体奖。</w:t>
      </w:r>
    </w:p>
    <w:p>
      <w:pPr>
        <w:spacing w:before="156" w:beforeLines="50" w:after="156" w:afterLines="50" w:line="560" w:lineRule="exact"/>
        <w:ind w:firstLine="640" w:firstLineChars="200"/>
        <w:rPr>
          <w:rFonts w:hint="eastAsia" w:ascii="宋体" w:hAnsi="宋体" w:eastAsia="宋体" w:cs="Times New Roman"/>
          <w:b w:val="0"/>
          <w:bCs w:val="0"/>
          <w:sz w:val="32"/>
          <w:szCs w:val="24"/>
          <w:lang w:val="zh-CN" w:eastAsia="zh-CN" w:bidi="ar"/>
        </w:rPr>
      </w:pPr>
      <w:r>
        <w:rPr>
          <w:rFonts w:hint="eastAsia" w:ascii="宋体" w:hAnsi="宋体" w:eastAsia="宋体" w:cs="Times New Roman"/>
          <w:b w:val="0"/>
          <w:bCs w:val="0"/>
          <w:sz w:val="32"/>
          <w:szCs w:val="24"/>
          <w:lang w:val="zh-CN" w:eastAsia="zh-CN" w:bidi="ar"/>
        </w:rPr>
        <w:t>八、提升服务，持续彰显工会作为。对于基层工会来说，搞好服务是最重要的职责。服务水平的高低，直接反映基层工会的工作能力和水平。在助推“三农”事业发展，事务中心工会带领大家牢固树立政治意识、大局意识、奉献意识的同时，营造了 “三心”氛围。一是“顺心”。工会及时掌握干部职工的思想状况，认真听取大家的诉求，收集意见建议，积极关心大家的工作生活情况。二是“贴心”。工会切实维护广大干部职工的各项合法权益，积极落实工会会员的福利待遇，做大家的贴心人。今年完成了对全员的8个节日的福利发放及12个困难会员的慰问。三是“暖心”。干部职工无论是红白喜事，还是三病两疼，工会总是会员们最坚强的后盾、最暖心的依靠。工会组织做到了其应有作用，在关心干部职工的生活方面，总是让群众“暖心”。</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三、部门整体收支情况</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1、收入情况：</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全年收入</w:t>
      </w:r>
      <w:bookmarkStart w:id="2" w:name="OLE_LINK1"/>
      <w:r>
        <w:rPr>
          <w:rFonts w:hint="eastAsia" w:ascii="宋体" w:hAnsi="宋体" w:eastAsia="宋体" w:cs="Times New Roman"/>
          <w:sz w:val="32"/>
          <w:szCs w:val="24"/>
          <w:lang w:val="en-US" w:eastAsia="zh-CN" w:bidi="ar"/>
        </w:rPr>
        <w:t>1315.85</w:t>
      </w:r>
      <w:bookmarkEnd w:id="2"/>
      <w:r>
        <w:rPr>
          <w:rFonts w:hint="default" w:ascii="宋体" w:hAnsi="宋体" w:eastAsia="宋体" w:cs="Times New Roman"/>
          <w:sz w:val="32"/>
          <w:szCs w:val="24"/>
          <w:lang w:val="zh-CN" w:eastAsia="zh-CN" w:bidi="ar"/>
        </w:rPr>
        <w:t>万元，其中：全年财政拨款收入</w:t>
      </w:r>
      <w:r>
        <w:rPr>
          <w:rFonts w:hint="eastAsia" w:ascii="宋体" w:hAnsi="宋体" w:eastAsia="宋体" w:cs="Times New Roman"/>
          <w:sz w:val="32"/>
          <w:szCs w:val="24"/>
          <w:lang w:val="en-US" w:eastAsia="zh-CN" w:bidi="ar"/>
        </w:rPr>
        <w:t>1287.87</w:t>
      </w:r>
      <w:r>
        <w:rPr>
          <w:rFonts w:hint="default" w:ascii="宋体" w:hAnsi="宋体" w:eastAsia="宋体" w:cs="Times New Roman"/>
          <w:sz w:val="32"/>
          <w:szCs w:val="24"/>
          <w:lang w:val="zh-CN" w:eastAsia="zh-CN" w:bidi="ar"/>
        </w:rPr>
        <w:t>万元、其他收入</w:t>
      </w:r>
      <w:r>
        <w:rPr>
          <w:rFonts w:hint="eastAsia" w:ascii="宋体" w:hAnsi="宋体" w:eastAsia="宋体" w:cs="Times New Roman"/>
          <w:sz w:val="32"/>
          <w:szCs w:val="24"/>
          <w:lang w:val="en-US" w:eastAsia="zh-CN" w:bidi="ar"/>
        </w:rPr>
        <w:t>27.98</w:t>
      </w:r>
      <w:r>
        <w:rPr>
          <w:rFonts w:hint="default" w:ascii="宋体" w:hAnsi="宋体" w:eastAsia="宋体" w:cs="Times New Roman"/>
          <w:sz w:val="32"/>
          <w:szCs w:val="24"/>
          <w:lang w:val="zh-CN" w:eastAsia="zh-CN" w:bidi="ar"/>
        </w:rPr>
        <w:t>万元。</w:t>
      </w:r>
    </w:p>
    <w:p>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2、支出情况：全年支出</w:t>
      </w:r>
      <w:r>
        <w:rPr>
          <w:rFonts w:hint="eastAsia" w:ascii="仿宋_GB2312" w:hAnsi="仿宋_GB2312" w:eastAsia="仿宋_GB2312" w:cs="仿宋_GB2312"/>
          <w:sz w:val="32"/>
          <w:szCs w:val="32"/>
          <w:lang w:val="en-US" w:eastAsia="zh-CN"/>
        </w:rPr>
        <w:t>1315.85</w:t>
      </w:r>
      <w:r>
        <w:rPr>
          <w:rFonts w:hint="default" w:ascii="宋体" w:hAnsi="宋体" w:eastAsia="宋体" w:cs="Times New Roman"/>
          <w:sz w:val="32"/>
          <w:szCs w:val="24"/>
          <w:lang w:val="zh-CN" w:eastAsia="zh-CN" w:bidi="ar"/>
        </w:rPr>
        <w:t>万元，</w:t>
      </w:r>
      <w:r>
        <w:rPr>
          <w:rFonts w:hint="eastAsia" w:ascii="宋体" w:hAnsi="宋体" w:eastAsia="宋体" w:cs="Times New Roman"/>
          <w:sz w:val="32"/>
          <w:szCs w:val="24"/>
          <w:lang w:val="zh-CN" w:eastAsia="zh-CN" w:bidi="ar"/>
        </w:rPr>
        <w:t>基本支出</w:t>
      </w:r>
      <w:bookmarkStart w:id="3" w:name="OLE_LINK13"/>
      <w:r>
        <w:rPr>
          <w:rFonts w:hint="eastAsia" w:ascii="仿宋_GB2312" w:hAnsi="仿宋_GB2312" w:eastAsia="仿宋_GB2312" w:cs="仿宋_GB2312"/>
          <w:sz w:val="32"/>
          <w:szCs w:val="32"/>
          <w:lang w:val="en-US" w:eastAsia="zh-CN"/>
        </w:rPr>
        <w:t>895.45</w:t>
      </w:r>
      <w:bookmarkEnd w:id="3"/>
      <w:r>
        <w:rPr>
          <w:rFonts w:hint="eastAsia" w:ascii="宋体" w:hAnsi="宋体" w:eastAsia="宋体" w:cs="Times New Roman"/>
          <w:sz w:val="32"/>
          <w:szCs w:val="24"/>
          <w:lang w:val="zh-CN" w:eastAsia="zh-CN" w:bidi="ar"/>
        </w:rPr>
        <w:t>万元，项目支出</w:t>
      </w:r>
      <w:r>
        <w:rPr>
          <w:rFonts w:hint="eastAsia" w:ascii="仿宋_GB2312" w:hAnsi="仿宋_GB2312" w:eastAsia="仿宋_GB2312" w:cs="仿宋_GB2312"/>
          <w:sz w:val="32"/>
          <w:szCs w:val="32"/>
          <w:lang w:val="en-US" w:eastAsia="zh-CN"/>
        </w:rPr>
        <w:t>420.4</w:t>
      </w:r>
      <w:r>
        <w:rPr>
          <w:rFonts w:hint="eastAsia" w:ascii="宋体" w:hAnsi="宋体" w:eastAsia="宋体" w:cs="Times New Roman"/>
          <w:sz w:val="32"/>
          <w:szCs w:val="24"/>
          <w:lang w:val="zh-CN" w:eastAsia="zh-CN" w:bidi="ar"/>
        </w:rPr>
        <w:t>万元；上缴上级支出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万元；经营支出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万元；对附属单位补助支出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四、部门（单位）整体支出管理及绩效情况</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（一）部门整体支出情况分析</w:t>
      </w:r>
    </w:p>
    <w:p>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default" w:ascii="宋体" w:hAnsi="宋体" w:eastAsia="宋体" w:cs="Times New Roman"/>
          <w:sz w:val="32"/>
          <w:szCs w:val="24"/>
          <w:lang w:val="zh-CN" w:eastAsia="zh-CN" w:bidi="ar"/>
        </w:rPr>
        <w:t>1、</w:t>
      </w:r>
      <w:r>
        <w:rPr>
          <w:rFonts w:hint="default" w:ascii="宋体" w:hAnsi="宋体" w:eastAsia="宋体" w:cs="Times New Roman"/>
          <w:sz w:val="32"/>
          <w:szCs w:val="24"/>
          <w:lang w:val="en-US" w:eastAsia="zh-CN" w:bidi="ar"/>
        </w:rPr>
        <w:t>本年支出合计</w:t>
      </w:r>
      <w:r>
        <w:rPr>
          <w:rFonts w:hint="eastAsia" w:ascii="宋体" w:hAnsi="宋体" w:eastAsia="宋体" w:cs="Times New Roman"/>
          <w:sz w:val="32"/>
          <w:szCs w:val="24"/>
          <w:lang w:val="en-US" w:eastAsia="zh-CN" w:bidi="ar"/>
        </w:rPr>
        <w:t>1315.85</w:t>
      </w:r>
      <w:r>
        <w:rPr>
          <w:rFonts w:hint="default" w:ascii="宋体" w:hAnsi="宋体" w:eastAsia="宋体" w:cs="Times New Roman"/>
          <w:sz w:val="32"/>
          <w:szCs w:val="24"/>
          <w:lang w:val="en-US" w:eastAsia="zh-CN" w:bidi="ar"/>
        </w:rPr>
        <w:t>万元，其中：基本支出</w:t>
      </w:r>
      <w:r>
        <w:rPr>
          <w:rFonts w:hint="eastAsia" w:ascii="宋体" w:hAnsi="宋体" w:eastAsia="宋体" w:cs="Times New Roman"/>
          <w:sz w:val="32"/>
          <w:szCs w:val="24"/>
          <w:lang w:val="en-US" w:eastAsia="zh-CN" w:bidi="ar"/>
        </w:rPr>
        <w:t>895.45</w:t>
      </w:r>
      <w:r>
        <w:rPr>
          <w:rFonts w:hint="default" w:ascii="宋体" w:hAnsi="宋体" w:eastAsia="宋体" w:cs="Times New Roman"/>
          <w:sz w:val="32"/>
          <w:szCs w:val="24"/>
          <w:lang w:val="zh-CN" w:eastAsia="zh-CN" w:bidi="ar"/>
        </w:rPr>
        <w:t>万元，</w:t>
      </w:r>
      <w:r>
        <w:rPr>
          <w:rFonts w:hint="default" w:ascii="宋体" w:hAnsi="宋体" w:eastAsia="宋体" w:cs="Times New Roman"/>
          <w:sz w:val="32"/>
          <w:szCs w:val="24"/>
          <w:lang w:val="en-US" w:eastAsia="zh-CN" w:bidi="ar"/>
        </w:rPr>
        <w:t>占</w:t>
      </w:r>
      <w:r>
        <w:rPr>
          <w:rFonts w:hint="eastAsia" w:ascii="宋体" w:hAnsi="宋体" w:eastAsia="宋体" w:cs="Times New Roman"/>
          <w:sz w:val="32"/>
          <w:szCs w:val="24"/>
          <w:lang w:val="en-US" w:eastAsia="zh-CN" w:bidi="ar"/>
        </w:rPr>
        <w:t>68.05</w:t>
      </w:r>
      <w:r>
        <w:rPr>
          <w:rFonts w:hint="default" w:ascii="宋体" w:hAnsi="宋体" w:eastAsia="宋体" w:cs="Times New Roman"/>
          <w:sz w:val="32"/>
          <w:szCs w:val="24"/>
          <w:lang w:val="en-US" w:eastAsia="zh-CN" w:bidi="ar"/>
        </w:rPr>
        <w:t>%；项目支出</w:t>
      </w:r>
      <w:r>
        <w:rPr>
          <w:rFonts w:hint="eastAsia" w:ascii="宋体" w:hAnsi="宋体" w:eastAsia="宋体" w:cs="Times New Roman"/>
          <w:sz w:val="32"/>
          <w:szCs w:val="24"/>
          <w:lang w:val="en-US" w:eastAsia="zh-CN" w:bidi="ar"/>
        </w:rPr>
        <w:t>420.4</w:t>
      </w:r>
      <w:r>
        <w:rPr>
          <w:rFonts w:hint="default" w:ascii="宋体" w:hAnsi="宋体" w:eastAsia="宋体" w:cs="Times New Roman"/>
          <w:sz w:val="32"/>
          <w:szCs w:val="24"/>
          <w:lang w:val="en-US" w:eastAsia="zh-CN" w:bidi="ar"/>
        </w:rPr>
        <w:t>万元，占</w:t>
      </w:r>
      <w:r>
        <w:rPr>
          <w:rFonts w:hint="eastAsia" w:ascii="宋体" w:hAnsi="宋体" w:eastAsia="宋体" w:cs="Times New Roman"/>
          <w:sz w:val="32"/>
          <w:szCs w:val="24"/>
          <w:lang w:val="en-US" w:eastAsia="zh-CN" w:bidi="ar"/>
        </w:rPr>
        <w:t>31.95</w:t>
      </w:r>
      <w:r>
        <w:rPr>
          <w:rFonts w:hint="default" w:ascii="宋体" w:hAnsi="宋体" w:eastAsia="宋体" w:cs="Times New Roman"/>
          <w:sz w:val="32"/>
          <w:szCs w:val="24"/>
          <w:lang w:val="en-US" w:eastAsia="zh-CN" w:bidi="ar"/>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w:t>
      </w:r>
      <w:r>
        <w:rPr>
          <w:rFonts w:hint="eastAsia" w:ascii="宋体" w:hAnsi="宋体" w:eastAsia="宋体" w:cs="Times New Roman"/>
          <w:sz w:val="32"/>
          <w:szCs w:val="24"/>
          <w:lang w:val="zh-CN" w:eastAsia="zh-CN" w:bidi="ar"/>
        </w:rPr>
        <w:t>2024</w:t>
      </w:r>
      <w:r>
        <w:rPr>
          <w:rFonts w:hint="default" w:ascii="宋体" w:hAnsi="宋体" w:eastAsia="宋体" w:cs="Times New Roman"/>
          <w:sz w:val="32"/>
          <w:szCs w:val="24"/>
          <w:lang w:val="zh-CN" w:eastAsia="zh-CN" w:bidi="ar"/>
        </w:rPr>
        <w:t>年度“三公”经费财政拨款支出预算为</w:t>
      </w:r>
      <w:r>
        <w:rPr>
          <w:rFonts w:hint="eastAsia" w:ascii="宋体" w:hAnsi="宋体" w:eastAsia="宋体" w:cs="Times New Roman"/>
          <w:sz w:val="32"/>
          <w:szCs w:val="24"/>
          <w:lang w:val="en-US" w:eastAsia="zh-CN" w:bidi="ar"/>
        </w:rPr>
        <w:t>11</w:t>
      </w:r>
      <w:r>
        <w:rPr>
          <w:rFonts w:hint="default" w:ascii="宋体" w:hAnsi="宋体" w:eastAsia="宋体" w:cs="Times New Roman"/>
          <w:sz w:val="32"/>
          <w:szCs w:val="24"/>
          <w:lang w:val="zh-CN" w:eastAsia="zh-CN" w:bidi="ar"/>
        </w:rPr>
        <w:t>万元，支出决算为</w:t>
      </w:r>
      <w:r>
        <w:rPr>
          <w:rFonts w:hint="eastAsia" w:ascii="宋体" w:hAnsi="宋体" w:eastAsia="宋体" w:cs="Times New Roman"/>
          <w:sz w:val="32"/>
          <w:szCs w:val="24"/>
          <w:lang w:val="en-US" w:eastAsia="zh-CN" w:bidi="ar"/>
        </w:rPr>
        <w:t>0.61</w:t>
      </w:r>
      <w:r>
        <w:rPr>
          <w:rFonts w:hint="default" w:ascii="宋体" w:hAnsi="宋体" w:eastAsia="宋体" w:cs="Times New Roman"/>
          <w:sz w:val="32"/>
          <w:szCs w:val="24"/>
          <w:lang w:val="zh-CN" w:eastAsia="zh-CN" w:bidi="ar"/>
        </w:rPr>
        <w:t>万元,完成预算的</w:t>
      </w:r>
      <w:r>
        <w:rPr>
          <w:rFonts w:hint="eastAsia" w:ascii="宋体" w:hAnsi="宋体" w:eastAsia="宋体" w:cs="Times New Roman"/>
          <w:sz w:val="32"/>
          <w:szCs w:val="24"/>
          <w:lang w:val="en-US" w:eastAsia="zh-CN" w:bidi="ar"/>
        </w:rPr>
        <w:t>5.55</w:t>
      </w:r>
      <w:r>
        <w:rPr>
          <w:rFonts w:hint="default" w:ascii="宋体" w:hAnsi="宋体" w:eastAsia="宋体" w:cs="Times New Roman"/>
          <w:sz w:val="32"/>
          <w:szCs w:val="24"/>
          <w:lang w:val="zh-CN" w:eastAsia="zh-CN" w:bidi="ar"/>
        </w:rPr>
        <w:t>%，</w:t>
      </w:r>
      <w:r>
        <w:rPr>
          <w:rFonts w:hint="eastAsia" w:ascii="宋体" w:hAnsi="宋体" w:eastAsia="宋体" w:cs="Times New Roman"/>
          <w:sz w:val="32"/>
          <w:szCs w:val="24"/>
          <w:lang w:val="zh-CN" w:eastAsia="zh-CN" w:bidi="ar"/>
        </w:rPr>
        <w:t>决算数小于预算数的主要原因是</w:t>
      </w:r>
      <w:bookmarkStart w:id="4" w:name="OLE_LINK10"/>
      <w:r>
        <w:rPr>
          <w:rFonts w:hint="eastAsia" w:ascii="宋体" w:hAnsi="宋体" w:eastAsia="宋体" w:cs="Times New Roman"/>
          <w:sz w:val="32"/>
          <w:szCs w:val="24"/>
          <w:lang w:val="en-US" w:eastAsia="zh-CN" w:bidi="ar"/>
        </w:rPr>
        <w:t>市财政局提前关闭支付系统，导致支出减少</w:t>
      </w:r>
      <w:bookmarkEnd w:id="4"/>
      <w:r>
        <w:rPr>
          <w:rFonts w:hint="eastAsia" w:ascii="宋体" w:hAnsi="宋体" w:eastAsia="宋体" w:cs="Times New Roman"/>
          <w:sz w:val="32"/>
          <w:szCs w:val="24"/>
          <w:lang w:val="zh-CN" w:eastAsia="zh-CN" w:bidi="ar"/>
        </w:rPr>
        <w:t>。</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bookmarkStart w:id="5" w:name="_GoBack"/>
      <w:bookmarkEnd w:id="5"/>
      <w:r>
        <w:rPr>
          <w:rFonts w:hint="default" w:ascii="宋体" w:hAnsi="宋体" w:eastAsia="宋体" w:cs="Times New Roman"/>
          <w:sz w:val="32"/>
          <w:szCs w:val="24"/>
          <w:lang w:val="zh-CN" w:eastAsia="zh-CN" w:bidi="ar"/>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（二）部门整体支出管理情况分析</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2、财务管理按制度运行。按照国家法律法规，制定财务制度、资产配置使用制度、公务接待、会议制度、培训制度等单位内部控制制度，并按照制度管理和执行，防范风险，保证财政资金的安全和高效运行。</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545"/>
      <w:rPr>
        <w:rFonts w:ascii="宋体" w:hAnsi="宋体" w:eastAsia="宋体" w:cs="宋体"/>
        <w:sz w:val="31"/>
        <w:szCs w:val="31"/>
      </w:rPr>
    </w:pPr>
    <w:r>
      <w:rPr>
        <w:rFonts w:ascii="宋体" w:hAnsi="宋体" w:eastAsia="宋体" w:cs="宋体"/>
        <w:spacing w:val="-4"/>
        <w:sz w:val="31"/>
        <w:szCs w:val="31"/>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55B0"/>
    <w:rsid w:val="00AE706C"/>
    <w:rsid w:val="09A920E8"/>
    <w:rsid w:val="0A5A5FF6"/>
    <w:rsid w:val="10A27B7D"/>
    <w:rsid w:val="2DF21419"/>
    <w:rsid w:val="35ED5087"/>
    <w:rsid w:val="38B90A1D"/>
    <w:rsid w:val="3AB4755E"/>
    <w:rsid w:val="3CB215A2"/>
    <w:rsid w:val="49321B27"/>
    <w:rsid w:val="50580E37"/>
    <w:rsid w:val="552031D3"/>
    <w:rsid w:val="57B91ABD"/>
    <w:rsid w:val="615F322C"/>
    <w:rsid w:val="6A9042E2"/>
    <w:rsid w:val="709D722B"/>
    <w:rsid w:val="781F11A1"/>
    <w:rsid w:val="7C1D1DB2"/>
    <w:rsid w:val="7CF8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spacing w:beforeLines="0" w:afterLines="0"/>
      <w:jc w:val="both"/>
    </w:pPr>
    <w:rPr>
      <w:rFonts w:hint="eastAsia" w:ascii="Times New Roman" w:hAnsi="Times New Roman" w:eastAsia="Times New Roman" w:cs="Times New Roman"/>
      <w:kern w:val="2"/>
      <w:sz w:val="21"/>
      <w:szCs w:val="24"/>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Calibri" w:hAnsi="Calibri" w:eastAsia="宋体" w:cs="Times New Roman"/>
      <w:szCs w:val="20"/>
    </w:rPr>
  </w:style>
  <w:style w:type="paragraph" w:styleId="3">
    <w:name w:val="Body Text"/>
    <w:basedOn w:val="1"/>
    <w:next w:val="1"/>
    <w:qFormat/>
    <w:uiPriority w:val="0"/>
    <w:rPr>
      <w:rFonts w:ascii="仿宋" w:hAnsi="仿宋" w:eastAsia="仿宋" w:cs="仿宋"/>
      <w:sz w:val="28"/>
      <w:szCs w:val="28"/>
      <w:lang w:val="zh-CN" w:bidi="zh-CN"/>
    </w:rPr>
  </w:style>
  <w:style w:type="paragraph" w:styleId="5">
    <w:name w:val="toa heading"/>
    <w:basedOn w:val="1"/>
    <w:next w:val="1"/>
    <w:qFormat/>
    <w:uiPriority w:val="99"/>
    <w:pPr>
      <w:spacing w:before="120" w:after="200" w:line="276" w:lineRule="auto"/>
    </w:pPr>
    <w:rPr>
      <w:rFonts w:ascii="Arial" w:hAnsi="Arial"/>
      <w:sz w:val="24"/>
    </w:rPr>
  </w:style>
  <w:style w:type="paragraph" w:styleId="6">
    <w:name w:val="Body Text Indent"/>
    <w:basedOn w:val="1"/>
    <w:qFormat/>
    <w:uiPriority w:val="0"/>
    <w:pPr>
      <w:ind w:left="420" w:leftChars="200"/>
    </w:pPr>
  </w:style>
  <w:style w:type="paragraph" w:styleId="7">
    <w:name w:val="toc 1"/>
    <w:basedOn w:val="1"/>
    <w:next w:val="1"/>
    <w:qFormat/>
    <w:uiPriority w:val="99"/>
  </w:style>
  <w:style w:type="paragraph" w:styleId="8">
    <w:name w:val="footnote text"/>
    <w:basedOn w:val="1"/>
    <w:qFormat/>
    <w:uiPriority w:val="0"/>
    <w:pPr>
      <w:snapToGrid w:val="0"/>
      <w:jc w:val="left"/>
    </w:pPr>
    <w:rPr>
      <w:kern w:val="0"/>
      <w:sz w:val="18"/>
      <w:szCs w:val="18"/>
    </w:rPr>
  </w:style>
  <w:style w:type="paragraph" w:styleId="9">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styleId="10">
    <w:name w:val="Body Text First Indent 2"/>
    <w:basedOn w:val="6"/>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4">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2024-09-19T01:53:00Z</dcterms:created>
  <dc:creator>Administrator</dc:creator>
  <cp:lastModifiedBy>admin</cp:lastModifiedBy>
  <dcterms:modified xsi:type="dcterms:W3CDTF">2025-06-19T04:33:54Z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CE6A5215CE8847FFA14AF921078E84CE</vt:lpwstr>
  </property>
</Properties>
</file>