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6A19">
      <w:pPr>
        <w:pStyle w:val="12"/>
        <w:jc w:val="center"/>
        <w:rPr>
          <w:sz w:val="56"/>
          <w:szCs w:val="56"/>
        </w:rPr>
      </w:pPr>
    </w:p>
    <w:p w14:paraId="359AECF2">
      <w:pPr>
        <w:pStyle w:val="12"/>
        <w:jc w:val="center"/>
        <w:rPr>
          <w:sz w:val="56"/>
          <w:szCs w:val="56"/>
        </w:rPr>
      </w:pPr>
    </w:p>
    <w:p w14:paraId="28FBC625">
      <w:pPr>
        <w:pStyle w:val="12"/>
        <w:jc w:val="center"/>
        <w:rPr>
          <w:sz w:val="84"/>
          <w:szCs w:val="84"/>
        </w:rPr>
      </w:pPr>
    </w:p>
    <w:p w14:paraId="2ABDF363">
      <w:pPr>
        <w:pStyle w:val="12"/>
        <w:jc w:val="center"/>
        <w:rPr>
          <w:sz w:val="84"/>
          <w:szCs w:val="84"/>
        </w:rPr>
      </w:pPr>
    </w:p>
    <w:p w14:paraId="33D89091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 w14:paraId="70339DB5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岳阳市全民健身指导</w:t>
      </w:r>
    </w:p>
    <w:p w14:paraId="13A91456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服务中心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决算</w:t>
      </w:r>
    </w:p>
    <w:p w14:paraId="5EAFF6C1"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 w14:paraId="2C69766A">
      <w:pPr>
        <w:pStyle w:val="12"/>
        <w:jc w:val="center"/>
        <w:rPr>
          <w:sz w:val="56"/>
          <w:szCs w:val="56"/>
        </w:rPr>
      </w:pPr>
    </w:p>
    <w:p w14:paraId="4F24AF12">
      <w:pPr>
        <w:pStyle w:val="12"/>
        <w:jc w:val="center"/>
        <w:rPr>
          <w:sz w:val="56"/>
          <w:szCs w:val="56"/>
        </w:rPr>
      </w:pPr>
    </w:p>
    <w:p w14:paraId="4199F633">
      <w:pPr>
        <w:pStyle w:val="12"/>
        <w:jc w:val="center"/>
        <w:rPr>
          <w:sz w:val="56"/>
          <w:szCs w:val="56"/>
        </w:rPr>
      </w:pPr>
    </w:p>
    <w:p w14:paraId="684A68E4">
      <w:pPr>
        <w:pStyle w:val="12"/>
        <w:jc w:val="center"/>
        <w:rPr>
          <w:sz w:val="32"/>
          <w:szCs w:val="32"/>
        </w:rPr>
      </w:pPr>
    </w:p>
    <w:p w14:paraId="68E88416">
      <w:pPr>
        <w:pStyle w:val="12"/>
        <w:jc w:val="center"/>
        <w:rPr>
          <w:sz w:val="32"/>
          <w:szCs w:val="32"/>
        </w:rPr>
      </w:pPr>
    </w:p>
    <w:p w14:paraId="4C6C8D10">
      <w:pPr>
        <w:pStyle w:val="12"/>
        <w:jc w:val="center"/>
        <w:rPr>
          <w:sz w:val="32"/>
          <w:szCs w:val="32"/>
        </w:rPr>
      </w:pPr>
    </w:p>
    <w:p w14:paraId="36B6C17E">
      <w:pPr>
        <w:pStyle w:val="12"/>
        <w:jc w:val="center"/>
        <w:rPr>
          <w:sz w:val="32"/>
          <w:szCs w:val="32"/>
        </w:rPr>
      </w:pPr>
    </w:p>
    <w:p w14:paraId="7926BD99"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14:paraId="6EEA8C2F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>岳阳市全民健身指导服务中心单位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 w14:paraId="4B102DD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 w14:paraId="6EAE0925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 w14:paraId="4886309B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 w14:paraId="1C033421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 w14:paraId="15407A6E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 w14:paraId="71CB0EE8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 w14:paraId="19CB1E4D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 w14:paraId="1543414C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 w14:paraId="6C9FC4D9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 w14:paraId="5022A0F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 w14:paraId="4DF83BAE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 w14:paraId="2AAC616D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 w14:paraId="0FEFD036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 w14:paraId="2ED67784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 w14:paraId="36839B54"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 w14:paraId="12740BBA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 w14:paraId="36CAEED8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14:paraId="243A0987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14:paraId="6D40E4AB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14:paraId="5846B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 w14:paraId="70F8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 w14:paraId="7DB2F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 w14:paraId="0E64B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 w14:paraId="2E7C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 w14:paraId="3417C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 w14:paraId="6358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 w14:paraId="38866379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 w14:paraId="7BD48EDC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 w14:paraId="3820C90C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 w14:paraId="3F921A7B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2B7C9AE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30E225F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 w14:paraId="5360337B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8554FD1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全民健身指导服务中心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 w14:paraId="3CFB10CF"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393D4D66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4994EB2"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78D6C8EC"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3AEE5818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48CA3C7F"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 w14:paraId="356A2813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（一）负责拟定全市全民健身工作规措施并组织实施的行政辅助工作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7FE3DAD9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（二）负责全民健身政策、法规宣传以及体育健身科普知识普及等工作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7251A1DC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）协调、督促、指导全市公共体育场馆设施按要求开展全民健身活动，实施免费或低收费开放。</w:t>
      </w:r>
    </w:p>
    <w:p w14:paraId="6A92038C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）负责全市国民体质检测服务工作并建立国民体质检测数据库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2227598F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）负责全市社会体育指导员管理服务工作，并建立人员档案数据库，规范其从业行为。</w:t>
      </w:r>
    </w:p>
    <w:p w14:paraId="091462E0"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）负责为体育产业开发提供指导服务；负责市本级体育彩票发行的日常事务性工作。</w:t>
      </w:r>
    </w:p>
    <w:p w14:paraId="695A1B2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/>
        </w:rPr>
      </w:pPr>
      <w:r>
        <w:rPr>
          <w:rFonts w:ascii="仿宋" w:eastAsia="仿宋" w:cs="仿宋"/>
          <w:sz w:val="32"/>
          <w:szCs w:val="32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eastAsia="zh-CN"/>
        </w:rPr>
        <w:t>末</w:t>
      </w:r>
      <w:r>
        <w:rPr>
          <w:rFonts w:hint="eastAsia" w:ascii="仿宋" w:eastAsia="仿宋" w:cs="仿宋"/>
          <w:sz w:val="32"/>
          <w:szCs w:val="32"/>
        </w:rPr>
        <w:t>本单位</w:t>
      </w:r>
      <w:r>
        <w:rPr>
          <w:rFonts w:hint="eastAsia" w:ascii="仿宋_GB2312" w:hAnsi="仿宋" w:eastAsia="仿宋_GB2312"/>
          <w:b/>
          <w:sz w:val="32"/>
          <w:szCs w:val="32"/>
        </w:rPr>
        <w:t>在编人员为</w:t>
      </w:r>
      <w:r>
        <w:rPr>
          <w:rFonts w:ascii="仿宋_GB2312" w:hAnsi="仿宋"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32"/>
          <w:szCs w:val="32"/>
        </w:rPr>
        <w:t>人。</w:t>
      </w:r>
    </w:p>
    <w:p w14:paraId="6AE65A54"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 w14:paraId="2DCEAC5D"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</w:p>
    <w:p w14:paraId="28999C4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设4个内设机构：1、综合部2、健身活动部3、国民体质监测部4、场馆运营部</w:t>
      </w:r>
    </w:p>
    <w:p w14:paraId="72EEED82">
      <w:pPr>
        <w:widowControl/>
        <w:spacing w:line="600" w:lineRule="exact"/>
        <w:ind w:firstLine="640" w:firstLineChars="200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本单位无独立核算的下属单位2023年度部门决算汇总公开单位，仅包括岳阳市全民健身指导服务中心本级。</w:t>
      </w:r>
    </w:p>
    <w:p w14:paraId="3070D4B0"/>
    <w:p w14:paraId="2CDC7B8C">
      <w:pPr>
        <w:pStyle w:val="7"/>
      </w:pPr>
    </w:p>
    <w:p w14:paraId="707C5303">
      <w:pPr>
        <w:pStyle w:val="3"/>
      </w:pPr>
    </w:p>
    <w:p w14:paraId="7BF85153"/>
    <w:p w14:paraId="346459DA">
      <w:pPr>
        <w:pStyle w:val="7"/>
      </w:pPr>
    </w:p>
    <w:p w14:paraId="1A75997A">
      <w:pPr>
        <w:pStyle w:val="3"/>
      </w:pPr>
    </w:p>
    <w:p w14:paraId="345C1679"/>
    <w:p w14:paraId="0FBCCA9B">
      <w:pPr>
        <w:pStyle w:val="7"/>
      </w:pPr>
    </w:p>
    <w:p w14:paraId="023DDD91">
      <w:pPr>
        <w:pStyle w:val="3"/>
      </w:pPr>
    </w:p>
    <w:p w14:paraId="2F9F5EA6"/>
    <w:p w14:paraId="1E73D142">
      <w:pPr>
        <w:pStyle w:val="7"/>
      </w:pPr>
    </w:p>
    <w:p w14:paraId="61656650">
      <w:pPr>
        <w:pStyle w:val="3"/>
      </w:pPr>
    </w:p>
    <w:p w14:paraId="059D1F8D"/>
    <w:p w14:paraId="5A2877AE">
      <w:pPr>
        <w:pStyle w:val="7"/>
      </w:pPr>
    </w:p>
    <w:p w14:paraId="1BFACB25">
      <w:pPr>
        <w:pStyle w:val="3"/>
      </w:pPr>
    </w:p>
    <w:p w14:paraId="752DD313"/>
    <w:p w14:paraId="6DC095D6">
      <w:pPr>
        <w:pStyle w:val="7"/>
      </w:pPr>
    </w:p>
    <w:p w14:paraId="080DDD27">
      <w:pPr>
        <w:pStyle w:val="3"/>
      </w:pPr>
    </w:p>
    <w:p w14:paraId="41BBF797"/>
    <w:p w14:paraId="6D4926D0">
      <w:pPr>
        <w:pStyle w:val="7"/>
      </w:pPr>
    </w:p>
    <w:p w14:paraId="0B42777D">
      <w:pPr>
        <w:pStyle w:val="3"/>
      </w:pPr>
    </w:p>
    <w:p w14:paraId="712AEB0F">
      <w:pPr>
        <w:pStyle w:val="12"/>
        <w:jc w:val="both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E494CFB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 w14:paraId="09EACB7B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E9915AC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 w14:paraId="2A2BD703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 w14:paraId="7447CA42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17852DA8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4005A7B4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721B43A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1DB5DE54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4597D8F0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33ACC3AD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7EA4C902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616217BD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5FB8AE29"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0DE1EE3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 w14:paraId="28055EB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0127D545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 w14:paraId="034E3B52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68605DD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45DA8BD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1D9286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EE16A5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11B9B0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F296F1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9E5516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712431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958.10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省十四运会筹备资金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D863A2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6E0F871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年度收入合计769.56万元，其中：财政拨款收入732.26万元，占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%；其他收入37.3万元，占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04D983E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7863008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46.86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53.14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4BF3428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4C739DC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732.26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人员增加和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场馆维修维护资金增加。</w:t>
      </w:r>
    </w:p>
    <w:p w14:paraId="5E77A1E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4F23C7B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 w14:paraId="0868D99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62.52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8.762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人员增加。</w:t>
      </w:r>
    </w:p>
    <w:p w14:paraId="1CC1D0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 w14:paraId="33EF194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%；教育（类）支出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9.87</w:t>
      </w:r>
      <w:r>
        <w:rPr>
          <w:rFonts w:hint="eastAsia" w:ascii="仿宋_GB2312" w:hAnsi="仿宋_GB2312" w:eastAsia="仿宋_GB2312" w:cs="仿宋_GB2312"/>
          <w:sz w:val="32"/>
          <w:szCs w:val="32"/>
        </w:rPr>
        <w:t>%;文化旅游体育与传媒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452.75万元，占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78.65%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；社会保障和就业（类）支出30.73万元，占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；卫生健康（类）支出12.17万元，占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2.11%；住房保障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支出23.18万元，占4.03%。</w:t>
      </w:r>
    </w:p>
    <w:p w14:paraId="4CD0818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 w14:paraId="51F3EAD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346.66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166.05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 w14:paraId="603C7AC8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205（类）01（款）01（项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行政运行安排的支出</w:t>
      </w:r>
    </w:p>
    <w:p w14:paraId="7C23396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：产生支出。</w:t>
      </w:r>
    </w:p>
    <w:p w14:paraId="22B859A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2、205（类）01（款）02（项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一般行政管理事务安排的支出</w:t>
      </w:r>
    </w:p>
    <w:p w14:paraId="0B93E4B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产生支出。</w:t>
      </w:r>
    </w:p>
    <w:p w14:paraId="0C6F6EB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205（类）02（款）99（项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其他普通教育支出安排的支出</w:t>
      </w:r>
    </w:p>
    <w:p w14:paraId="1248C3E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产生支出。</w:t>
      </w:r>
    </w:p>
    <w:p w14:paraId="55201DB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4、205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其他教育费附加安排的支出 </w:t>
      </w:r>
    </w:p>
    <w:p w14:paraId="65F8F56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产生支出。</w:t>
      </w:r>
    </w:p>
    <w:p w14:paraId="331BEBB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体育训练安排的支出</w:t>
      </w:r>
    </w:p>
    <w:p w14:paraId="2510847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产生支出。</w:t>
      </w:r>
    </w:p>
    <w:p w14:paraId="1EF5E6A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体育场馆安排的支出</w:t>
      </w:r>
    </w:p>
    <w:p w14:paraId="2158F9F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448.18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155.35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场馆维修维护资金增加。</w:t>
      </w:r>
    </w:p>
    <w:p w14:paraId="4A31ACC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事业单位离退休安排的支出</w:t>
      </w:r>
    </w:p>
    <w:p w14:paraId="162F93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产生支出。</w:t>
      </w:r>
    </w:p>
    <w:p w14:paraId="0730CFF3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机关事业单位基本养老保险缴费安排的支出</w:t>
      </w:r>
    </w:p>
    <w:p w14:paraId="0A7DA9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人员增加。</w:t>
      </w:r>
    </w:p>
    <w:p w14:paraId="6F6AB6A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其他社会保障和就业安排的支出</w:t>
      </w:r>
    </w:p>
    <w:p w14:paraId="369103C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年初预算合理。</w:t>
      </w:r>
    </w:p>
    <w:p w14:paraId="085A533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事业单位医疗安排的支出</w:t>
      </w:r>
    </w:p>
    <w:p w14:paraId="4C1601C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：人员增加。</w:t>
      </w:r>
    </w:p>
    <w:p w14:paraId="33D3256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住房公积金安排的支出</w:t>
      </w:r>
    </w:p>
    <w:p w14:paraId="7EAD391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101.53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：人员增加。</w:t>
      </w:r>
    </w:p>
    <w:p w14:paraId="1385EC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15049C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 w14:paraId="606651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367.91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85.27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550EF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63.54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14.73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%，主要包括办公费、印刷费、咨询费、手续费。</w:t>
      </w:r>
    </w:p>
    <w:p w14:paraId="6D8D09A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 w14:paraId="52B4437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年度政府性基金预算财政拨款收入156.62万元；年初结转和结余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万元。具体情况如下：</w:t>
      </w:r>
    </w:p>
    <w:p w14:paraId="4D8AEB5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1、229（类）60（款）02（项）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用于社会福利的彩票公益金支出</w:t>
      </w:r>
    </w:p>
    <w:p w14:paraId="5A167D9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场馆维修维护资金增加。</w:t>
      </w:r>
    </w:p>
    <w:p w14:paraId="51BBA26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229（类）60（款）03（项）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用于体育事业的彩票公益金支出  </w:t>
      </w:r>
    </w:p>
    <w:p w14:paraId="62CE3FB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场馆维修维护资金增加。</w:t>
      </w:r>
    </w:p>
    <w:p w14:paraId="60ED8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 w14:paraId="086F3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2023年度国有资本经营预算财政拨款收入0万元；年初结转和结余0万；支出0万元，其中：基本支出0万元，项目支出0万元；年末结转和结余0万元。</w:t>
      </w:r>
    </w:p>
    <w:p w14:paraId="62226BF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69017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 w:bidi="ar-SA"/>
        </w:rPr>
        <w:t>（一）“三公”经费财政拨款支出决算总体情况说明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 </w:t>
      </w:r>
    </w:p>
    <w:p w14:paraId="78DB0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2023年度“三公”经费财政拨款支出预算为0万元，支出决算为0万元，决算数等于预算数。其中：  </w:t>
      </w:r>
    </w:p>
    <w:p w14:paraId="1CD7F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 w14:paraId="16EC3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公务接待费支出预算为0万元，支出决算为0万元，决算数等于预算数，主要原因是严格执行中央八项规定；与上年一致，无增减变动，主要原因是按有关政策厉行节约，严控公务接待支出。  </w:t>
      </w:r>
    </w:p>
    <w:p w14:paraId="6C3B0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 w14:paraId="0E225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公务用车运行维护费支出预算为0万元，支出决算为0万元，决算数等于预算数，主要原因是我单位严格按预算执行决算；与上年一致，无增减变动，主要原因是两年均无公务用车需要运行维护。 </w:t>
      </w:r>
    </w:p>
    <w:p w14:paraId="0F5DD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 w:bidi="ar-SA"/>
        </w:rPr>
        <w:t xml:space="preserve">（二）“三公”经费财政拨款支出决算具体情况说明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</w:t>
      </w:r>
    </w:p>
    <w:p w14:paraId="583B4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2023年度“三公”经费财政拨款支出决算中，公务接待费支出决算0万元，因公出国（境）费支出决算0万元，公务用车购置费及运行维护费支出决算0万元。其中：  </w:t>
      </w:r>
    </w:p>
    <w:p w14:paraId="04677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1、因公出国（境）费支出决算为0万元，全年安排因公出国（境）团组0个，累计0人次，我单位2023年度无因公出国（境）费支出。  </w:t>
      </w:r>
    </w:p>
    <w:p w14:paraId="5AE3F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2、公务接待费支出决算为0万元，全年共接待来访团组0个、来宾0人次，我单位2023年度无公务接待费支出。  </w:t>
      </w:r>
    </w:p>
    <w:p w14:paraId="106BD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3、公务用车购置费及运行维护费支出决算为0万元，其中：公务用车购置费0万元，当年没有购置公务用车。公务用车运行维护费0万元，截至2023年12月31日，我单位开支财政拨款的公务用车保有量为0辆。</w:t>
      </w:r>
    </w:p>
    <w:p w14:paraId="4B2901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 w14:paraId="35C3487D">
      <w:pPr>
        <w:pStyle w:val="12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本级和所属单位均为事业单位，按照机关运行经费的口径，本年度机关运行经费为0。</w:t>
      </w:r>
    </w:p>
    <w:p w14:paraId="01EC4A6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 w14:paraId="36F813A4"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本单位无会议费的预算和支出决算数；本单位无培训费的预算和支出决算数；本单位无举办节庆、晚会、论坛、赛事等活动的预算和支出决算数。</w:t>
      </w:r>
    </w:p>
    <w:p w14:paraId="284247C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/>
          <w:i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048143F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（由于预算数为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0，故无法计算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（由于预算数为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0，故无法计算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比重）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。货物采购授予中小企业合同金额占货物支出金额的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比重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，工程采购授予中小企业合同金额占工程支出金额的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比重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，服务采购授予中小企业合同金额占服务支出金额的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比重，由于各项预算数为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0，故无法计算各项占比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4B75C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557380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截至2023年12月31日，本单位共有车辆0辆，其中，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6134A8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 w14:paraId="424E7A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 w14:paraId="2770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 w14:paraId="178C9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575.64万元，政府性基金预算支出156.62万元，国有资本经营预算支出0万元。从评价情况来看，整体支出绩效评价中，2023年整体支出732.26万元，其中：基本支出431.44万元，项目支出300.82万元，本单位整体支出绩效自评综合评分99分，评价结果等次为良好。</w:t>
      </w:r>
    </w:p>
    <w:p w14:paraId="79B7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5个，共涉及资金76.74万，占一般公共预算项目支出总额的53.23%。组织对政府性基金预算项目支出开展绩效自评，项目0个，共涉及资金0万元，占政府性基金预算项目支出总额的0%。组织对国有资本经营预算项目支出开展绩效自评，项目0个，共涉及资金0万元，占国有资本经营预算项目支出总额的0%。从评价情况来看，项目绩效自评得分98分，评价结果等次为良好。</w:t>
      </w:r>
    </w:p>
    <w:p w14:paraId="0F529ED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 w14:paraId="634EA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根据年初设定的绩效目标，绩效自评得分为78分。全年预算数为346.66万元，执行数为732.26万元，完成预算的211.23%。绩效目标完成情况：一是人员经费使用良好；二是项目支出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存在差距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4B817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发现的主要问题及原因：一是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预算执行偏离绩效目标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编制存在问题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。下一步改进措施：一是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做好绩效计划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；二是力争做到资金使用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全过程监督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6C70683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 w14:paraId="39253CC5">
      <w:pPr>
        <w:autoSpaceDE w:val="0"/>
        <w:autoSpaceDN w:val="0"/>
        <w:adjustRightInd w:val="0"/>
        <w:ind w:firstLine="640" w:firstLineChars="200"/>
        <w:jc w:val="left"/>
        <w:rPr>
          <w:sz w:val="72"/>
          <w:szCs w:val="7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单位预算支出执行仍偏离绩效目标，预算绩效管理开展情况、绩效目标和绩效评价报告等，已在市政府部门财政预决算公开平台上向社会公开，详见附件。</w:t>
      </w:r>
    </w:p>
    <w:p w14:paraId="4F845621">
      <w:pPr>
        <w:pStyle w:val="12"/>
        <w:jc w:val="center"/>
        <w:rPr>
          <w:sz w:val="72"/>
          <w:szCs w:val="72"/>
        </w:rPr>
      </w:pPr>
    </w:p>
    <w:p w14:paraId="0C996A4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1E7A4FF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45334043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3C1E1D2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7F43104F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19FC01FB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1A0F57A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4529E187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7291F0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C4C2E31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29175EE7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94EC5D2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7E9A8B58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6CE694F0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3A0AF1E5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681333A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 w14:paraId="448947AF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 w14:paraId="3762086A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 w14:paraId="2BDB565D">
      <w:pPr>
        <w:pStyle w:val="7"/>
      </w:pPr>
    </w:p>
    <w:p w14:paraId="3841F8F2">
      <w:pPr>
        <w:pStyle w:val="3"/>
      </w:pPr>
    </w:p>
    <w:p w14:paraId="504E4B8A"/>
    <w:p w14:paraId="1601892B"/>
    <w:p w14:paraId="231D554A"/>
    <w:p w14:paraId="6A31D3E5"/>
    <w:p w14:paraId="69DE0CC9"/>
    <w:p w14:paraId="3DF90A76"/>
    <w:p w14:paraId="35DA6140"/>
    <w:p w14:paraId="7C6AD3BE"/>
    <w:p w14:paraId="4323AE60"/>
    <w:p w14:paraId="246E15E2"/>
    <w:p w14:paraId="3059CCB9"/>
    <w:p w14:paraId="69DBAEE6"/>
    <w:p w14:paraId="7E28750B"/>
    <w:p w14:paraId="236D5022"/>
    <w:p w14:paraId="41C37B9B"/>
    <w:p w14:paraId="68EF3E5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4F5019E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 w14:paraId="5D9D2660">
      <w:pPr>
        <w:pStyle w:val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B0C9FE">
      <w:pPr>
        <w:pStyle w:val="1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3A7E07">
      <w:pPr>
        <w:pStyle w:val="3"/>
      </w:pPr>
    </w:p>
    <w:p w14:paraId="31665D78"/>
    <w:p w14:paraId="631D2241">
      <w:pPr>
        <w:pStyle w:val="7"/>
      </w:pPr>
    </w:p>
    <w:p w14:paraId="24F66338">
      <w:pPr>
        <w:pStyle w:val="3"/>
      </w:pPr>
    </w:p>
    <w:p w14:paraId="01BFF290"/>
    <w:p w14:paraId="09649D81">
      <w:pPr>
        <w:pStyle w:val="7"/>
      </w:pPr>
    </w:p>
    <w:p w14:paraId="7CE3D520">
      <w:pPr>
        <w:pStyle w:val="3"/>
      </w:pPr>
    </w:p>
    <w:p w14:paraId="4B6D3E55"/>
    <w:p w14:paraId="1763BD03">
      <w:pPr>
        <w:pStyle w:val="7"/>
      </w:pPr>
    </w:p>
    <w:p w14:paraId="4BB4FF22">
      <w:pPr>
        <w:pStyle w:val="3"/>
      </w:pPr>
    </w:p>
    <w:p w14:paraId="58C7673F"/>
    <w:p w14:paraId="237423F7">
      <w:pPr>
        <w:pStyle w:val="7"/>
      </w:pPr>
    </w:p>
    <w:p w14:paraId="6B931A3F">
      <w:pPr>
        <w:pStyle w:val="3"/>
      </w:pPr>
    </w:p>
    <w:p w14:paraId="6E022785"/>
    <w:p w14:paraId="0713987A"/>
    <w:p w14:paraId="6F244631"/>
    <w:p w14:paraId="479C1A2A"/>
    <w:p w14:paraId="53F0E5A6"/>
    <w:p w14:paraId="2811E3A2"/>
    <w:p w14:paraId="6E29713E"/>
    <w:p w14:paraId="57B29FE7"/>
    <w:p w14:paraId="19A0C39D">
      <w:pPr>
        <w:pStyle w:val="7"/>
      </w:pPr>
    </w:p>
    <w:p w14:paraId="2968B230">
      <w:pPr>
        <w:pStyle w:val="3"/>
      </w:pPr>
    </w:p>
    <w:p w14:paraId="309F3D5A">
      <w:pPr>
        <w:pStyle w:val="3"/>
      </w:pPr>
    </w:p>
    <w:p w14:paraId="4AC4885B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 w14:paraId="351014AE"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4A50F865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 w14:paraId="345627FA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 w14:paraId="029CDA06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 w14:paraId="27FC722F"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 w14:paraId="3DEB8E36"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BC0B8"/>
    <w:multiLevelType w:val="singleLevel"/>
    <w:tmpl w:val="E0EBC0B8"/>
    <w:lvl w:ilvl="0" w:tentative="0">
      <w:start w:val="8"/>
      <w:numFmt w:val="decimal"/>
      <w:suff w:val="space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5F10B"/>
    <w:multiLevelType w:val="singleLevel"/>
    <w:tmpl w:val="7CF5F1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WFiOGQzMjcxY2RmMDUyZDNmYjdkODM4YTUxNjc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30BB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136E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0C7C52"/>
    <w:rsid w:val="0198183A"/>
    <w:rsid w:val="02CA620D"/>
    <w:rsid w:val="02ED5C45"/>
    <w:rsid w:val="059958AD"/>
    <w:rsid w:val="05F6490E"/>
    <w:rsid w:val="062E4A77"/>
    <w:rsid w:val="06425F47"/>
    <w:rsid w:val="067F6A2D"/>
    <w:rsid w:val="06CC35FE"/>
    <w:rsid w:val="07763029"/>
    <w:rsid w:val="07DB478B"/>
    <w:rsid w:val="08F01243"/>
    <w:rsid w:val="09653648"/>
    <w:rsid w:val="09A45050"/>
    <w:rsid w:val="09C108F9"/>
    <w:rsid w:val="0A7D449D"/>
    <w:rsid w:val="0AB77368"/>
    <w:rsid w:val="0B1A45C6"/>
    <w:rsid w:val="0BDC4F75"/>
    <w:rsid w:val="0C4072B2"/>
    <w:rsid w:val="0DE07A19"/>
    <w:rsid w:val="0E4A2B09"/>
    <w:rsid w:val="12583BA5"/>
    <w:rsid w:val="129E029B"/>
    <w:rsid w:val="12C86253"/>
    <w:rsid w:val="12E0359D"/>
    <w:rsid w:val="13BA5B9C"/>
    <w:rsid w:val="143D51D1"/>
    <w:rsid w:val="14904979"/>
    <w:rsid w:val="1522107D"/>
    <w:rsid w:val="15227349"/>
    <w:rsid w:val="156B2D6E"/>
    <w:rsid w:val="15721419"/>
    <w:rsid w:val="1651030E"/>
    <w:rsid w:val="16907088"/>
    <w:rsid w:val="199F6C9C"/>
    <w:rsid w:val="1AFA5418"/>
    <w:rsid w:val="1B0E0DE9"/>
    <w:rsid w:val="1B4A2F53"/>
    <w:rsid w:val="1C7134B8"/>
    <w:rsid w:val="1D022362"/>
    <w:rsid w:val="1D97DEFF"/>
    <w:rsid w:val="1DFF72E5"/>
    <w:rsid w:val="1EC04C47"/>
    <w:rsid w:val="1EFC6F07"/>
    <w:rsid w:val="22596817"/>
    <w:rsid w:val="22AC03C2"/>
    <w:rsid w:val="23005595"/>
    <w:rsid w:val="24134BC0"/>
    <w:rsid w:val="24A22BBB"/>
    <w:rsid w:val="24E67FFD"/>
    <w:rsid w:val="256A520F"/>
    <w:rsid w:val="28F90ABD"/>
    <w:rsid w:val="2B732DA8"/>
    <w:rsid w:val="2CE317D8"/>
    <w:rsid w:val="2D2A46B6"/>
    <w:rsid w:val="2D5E4965"/>
    <w:rsid w:val="2EE449D5"/>
    <w:rsid w:val="2FDF85B8"/>
    <w:rsid w:val="2FFFEE04"/>
    <w:rsid w:val="30AA08EF"/>
    <w:rsid w:val="310E70CF"/>
    <w:rsid w:val="31C95635"/>
    <w:rsid w:val="31EA5447"/>
    <w:rsid w:val="321A5B76"/>
    <w:rsid w:val="33122EA7"/>
    <w:rsid w:val="3337290D"/>
    <w:rsid w:val="33633703"/>
    <w:rsid w:val="33801D24"/>
    <w:rsid w:val="348953EB"/>
    <w:rsid w:val="34DF85B0"/>
    <w:rsid w:val="34E42621"/>
    <w:rsid w:val="34FD36E3"/>
    <w:rsid w:val="354235BD"/>
    <w:rsid w:val="35BC17F0"/>
    <w:rsid w:val="35E2700F"/>
    <w:rsid w:val="367C4ADB"/>
    <w:rsid w:val="36B06408"/>
    <w:rsid w:val="36B723E5"/>
    <w:rsid w:val="36C070BE"/>
    <w:rsid w:val="36EA06BF"/>
    <w:rsid w:val="394A2C6F"/>
    <w:rsid w:val="39A04C8F"/>
    <w:rsid w:val="3B6169C8"/>
    <w:rsid w:val="3B8F36BC"/>
    <w:rsid w:val="3B9A505A"/>
    <w:rsid w:val="3C890128"/>
    <w:rsid w:val="3CA07775"/>
    <w:rsid w:val="3D536596"/>
    <w:rsid w:val="3DBA6A6E"/>
    <w:rsid w:val="3E4971F3"/>
    <w:rsid w:val="3F125FDD"/>
    <w:rsid w:val="40BC26A4"/>
    <w:rsid w:val="410F6C78"/>
    <w:rsid w:val="41E87AAB"/>
    <w:rsid w:val="43316763"/>
    <w:rsid w:val="44224F14"/>
    <w:rsid w:val="444650C5"/>
    <w:rsid w:val="463C064B"/>
    <w:rsid w:val="468D34AC"/>
    <w:rsid w:val="46FB1ACB"/>
    <w:rsid w:val="4728180E"/>
    <w:rsid w:val="484E2ACE"/>
    <w:rsid w:val="48B60F07"/>
    <w:rsid w:val="491FF225"/>
    <w:rsid w:val="499B7E4D"/>
    <w:rsid w:val="4A810DB2"/>
    <w:rsid w:val="4B8D1BBC"/>
    <w:rsid w:val="4C756507"/>
    <w:rsid w:val="4C8F2B51"/>
    <w:rsid w:val="4CA313A6"/>
    <w:rsid w:val="4CBA3451"/>
    <w:rsid w:val="4D61085B"/>
    <w:rsid w:val="4D770568"/>
    <w:rsid w:val="4D807BBD"/>
    <w:rsid w:val="4F5837DE"/>
    <w:rsid w:val="4FF21CBD"/>
    <w:rsid w:val="4FFD214C"/>
    <w:rsid w:val="504A3E5F"/>
    <w:rsid w:val="50741D80"/>
    <w:rsid w:val="51DA0BDC"/>
    <w:rsid w:val="52E00EF8"/>
    <w:rsid w:val="5352765A"/>
    <w:rsid w:val="538A6632"/>
    <w:rsid w:val="545A6004"/>
    <w:rsid w:val="55645733"/>
    <w:rsid w:val="5777D4F5"/>
    <w:rsid w:val="589C6BEB"/>
    <w:rsid w:val="58CF4FE6"/>
    <w:rsid w:val="594034D5"/>
    <w:rsid w:val="59DD8326"/>
    <w:rsid w:val="5A032C9A"/>
    <w:rsid w:val="5A382820"/>
    <w:rsid w:val="5B4425A0"/>
    <w:rsid w:val="5C0B0DC4"/>
    <w:rsid w:val="5C2C3CDA"/>
    <w:rsid w:val="5D7A188C"/>
    <w:rsid w:val="5DEF592A"/>
    <w:rsid w:val="5F092B01"/>
    <w:rsid w:val="5FC6BB1E"/>
    <w:rsid w:val="5FF720F1"/>
    <w:rsid w:val="60540E52"/>
    <w:rsid w:val="60687CFB"/>
    <w:rsid w:val="62287250"/>
    <w:rsid w:val="62526DA0"/>
    <w:rsid w:val="64525A76"/>
    <w:rsid w:val="66CF35FD"/>
    <w:rsid w:val="67230C17"/>
    <w:rsid w:val="676905E0"/>
    <w:rsid w:val="67FF5C0B"/>
    <w:rsid w:val="689B207A"/>
    <w:rsid w:val="68CD2DF1"/>
    <w:rsid w:val="691E364C"/>
    <w:rsid w:val="699F55FC"/>
    <w:rsid w:val="69B84E78"/>
    <w:rsid w:val="6A5C6B91"/>
    <w:rsid w:val="6AD541DF"/>
    <w:rsid w:val="6BAA4A2F"/>
    <w:rsid w:val="6E1F1150"/>
    <w:rsid w:val="6E9D3265"/>
    <w:rsid w:val="6EFC0924"/>
    <w:rsid w:val="6FB74722"/>
    <w:rsid w:val="6FEF8B7E"/>
    <w:rsid w:val="70FA04FB"/>
    <w:rsid w:val="71755785"/>
    <w:rsid w:val="71A6591B"/>
    <w:rsid w:val="724053AE"/>
    <w:rsid w:val="737D59BA"/>
    <w:rsid w:val="737F32B1"/>
    <w:rsid w:val="773D67BB"/>
    <w:rsid w:val="77C37683"/>
    <w:rsid w:val="78413640"/>
    <w:rsid w:val="785D751C"/>
    <w:rsid w:val="78C338C8"/>
    <w:rsid w:val="79FF515B"/>
    <w:rsid w:val="7A4F75B8"/>
    <w:rsid w:val="7B75534E"/>
    <w:rsid w:val="7C3807BC"/>
    <w:rsid w:val="7CDB38D7"/>
    <w:rsid w:val="7D87580C"/>
    <w:rsid w:val="7E9E1962"/>
    <w:rsid w:val="7E9F11B4"/>
    <w:rsid w:val="7EDC6779"/>
    <w:rsid w:val="7F37EC1E"/>
    <w:rsid w:val="7F7DCD9D"/>
    <w:rsid w:val="7F970A6F"/>
    <w:rsid w:val="7FC1FFF3"/>
    <w:rsid w:val="7FC69637"/>
    <w:rsid w:val="7FD44D5A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4895</Words>
  <Characters>5380</Characters>
  <Lines>63</Lines>
  <Paragraphs>18</Paragraphs>
  <TotalTime>34</TotalTime>
  <ScaleCrop>false</ScaleCrop>
  <LinksUpToDate>false</LinksUpToDate>
  <CharactersWithSpaces>5415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53.</cp:lastModifiedBy>
  <cp:lastPrinted>2024-08-08T10:20:00Z</cp:lastPrinted>
  <dcterms:modified xsi:type="dcterms:W3CDTF">2025-07-29T09:00:35Z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C72F07AD604F4521949A69EF4701B6B0_13</vt:lpwstr>
  </property>
  <property fmtid="{D5CDD505-2E9C-101B-9397-08002B2CF9AE}" pid="4" name="KSOTemplateDocerSaveRecord">
    <vt:lpwstr>eyJoZGlkIjoiMTNlOWFiOGQzMjcxY2RmMDUyZDNmYjdkODM4YTUxNjciLCJ1c2VySWQiOiI1MjExOTQ2MjgifQ==</vt:lpwstr>
  </property>
</Properties>
</file>