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1D3F0">
      <w:pPr>
        <w:pStyle w:val="13"/>
        <w:jc w:val="center"/>
        <w:rPr>
          <w:sz w:val="56"/>
          <w:szCs w:val="56"/>
        </w:rPr>
      </w:pPr>
    </w:p>
    <w:p w14:paraId="2D125717">
      <w:pPr>
        <w:pStyle w:val="13"/>
        <w:jc w:val="center"/>
        <w:rPr>
          <w:sz w:val="56"/>
          <w:szCs w:val="56"/>
        </w:rPr>
      </w:pPr>
    </w:p>
    <w:p w14:paraId="1F503BA4">
      <w:pPr>
        <w:pStyle w:val="13"/>
        <w:jc w:val="center"/>
        <w:rPr>
          <w:sz w:val="84"/>
          <w:szCs w:val="84"/>
        </w:rPr>
      </w:pPr>
    </w:p>
    <w:p w14:paraId="21B712D3">
      <w:pPr>
        <w:pStyle w:val="13"/>
        <w:jc w:val="center"/>
        <w:rPr>
          <w:sz w:val="84"/>
          <w:szCs w:val="84"/>
        </w:rPr>
      </w:pPr>
    </w:p>
    <w:p w14:paraId="1720043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40D9EBF">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岳阳市特殊教育学校</w:t>
      </w:r>
    </w:p>
    <w:p w14:paraId="01487D1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单位部门决算</w:t>
      </w:r>
    </w:p>
    <w:p w14:paraId="36E526AD">
      <w:pPr>
        <w:pStyle w:val="13"/>
        <w:jc w:val="center"/>
        <w:rPr>
          <w:rFonts w:hint="eastAsia" w:ascii="方正小标宋_GBK" w:hAnsi="方正小标宋_GBK" w:eastAsia="方正小标宋_GBK" w:cs="方正小标宋_GBK"/>
          <w:sz w:val="56"/>
          <w:szCs w:val="56"/>
        </w:rPr>
      </w:pPr>
    </w:p>
    <w:p w14:paraId="6799B2B5">
      <w:pPr>
        <w:pStyle w:val="13"/>
        <w:jc w:val="center"/>
        <w:rPr>
          <w:sz w:val="56"/>
          <w:szCs w:val="56"/>
        </w:rPr>
      </w:pPr>
    </w:p>
    <w:p w14:paraId="36EBB082">
      <w:pPr>
        <w:pStyle w:val="13"/>
        <w:jc w:val="center"/>
        <w:rPr>
          <w:sz w:val="56"/>
          <w:szCs w:val="56"/>
        </w:rPr>
      </w:pPr>
    </w:p>
    <w:p w14:paraId="13EDB394">
      <w:pPr>
        <w:pStyle w:val="13"/>
        <w:jc w:val="center"/>
        <w:rPr>
          <w:sz w:val="56"/>
          <w:szCs w:val="56"/>
        </w:rPr>
      </w:pPr>
    </w:p>
    <w:p w14:paraId="24032E8B">
      <w:pPr>
        <w:pStyle w:val="13"/>
        <w:jc w:val="center"/>
        <w:rPr>
          <w:sz w:val="32"/>
          <w:szCs w:val="32"/>
        </w:rPr>
      </w:pPr>
    </w:p>
    <w:p w14:paraId="40A39203">
      <w:pPr>
        <w:pStyle w:val="13"/>
        <w:jc w:val="center"/>
        <w:rPr>
          <w:sz w:val="32"/>
          <w:szCs w:val="32"/>
        </w:rPr>
      </w:pPr>
    </w:p>
    <w:p w14:paraId="2E65407C">
      <w:pPr>
        <w:pStyle w:val="13"/>
        <w:jc w:val="center"/>
        <w:rPr>
          <w:sz w:val="32"/>
          <w:szCs w:val="32"/>
        </w:rPr>
      </w:pPr>
    </w:p>
    <w:p w14:paraId="605E8A13">
      <w:pPr>
        <w:pStyle w:val="13"/>
        <w:jc w:val="center"/>
        <w:rPr>
          <w:sz w:val="32"/>
          <w:szCs w:val="32"/>
        </w:rPr>
      </w:pPr>
    </w:p>
    <w:p w14:paraId="2114ED53">
      <w:pPr>
        <w:pStyle w:val="13"/>
        <w:jc w:val="center"/>
        <w:rPr>
          <w:sz w:val="32"/>
          <w:szCs w:val="32"/>
        </w:rPr>
      </w:pPr>
    </w:p>
    <w:p w14:paraId="5A2015BB">
      <w:pPr>
        <w:pStyle w:val="13"/>
        <w:spacing w:line="540" w:lineRule="exact"/>
        <w:jc w:val="center"/>
        <w:rPr>
          <w:sz w:val="56"/>
          <w:szCs w:val="56"/>
        </w:rPr>
      </w:pPr>
    </w:p>
    <w:p w14:paraId="2EF7C7F8">
      <w:pPr>
        <w:pStyle w:val="13"/>
        <w:spacing w:line="500" w:lineRule="exact"/>
        <w:jc w:val="both"/>
        <w:rPr>
          <w:b/>
          <w:sz w:val="36"/>
          <w:szCs w:val="28"/>
        </w:rPr>
      </w:pPr>
    </w:p>
    <w:p w14:paraId="20B649AB">
      <w:pPr>
        <w:pStyle w:val="13"/>
        <w:spacing w:line="500" w:lineRule="exact"/>
        <w:jc w:val="center"/>
        <w:rPr>
          <w:b/>
          <w:sz w:val="36"/>
          <w:szCs w:val="28"/>
        </w:rPr>
      </w:pPr>
      <w:r>
        <w:rPr>
          <w:rFonts w:hint="eastAsia"/>
          <w:b/>
          <w:sz w:val="36"/>
          <w:szCs w:val="28"/>
        </w:rPr>
        <w:t>目录</w:t>
      </w:r>
    </w:p>
    <w:p w14:paraId="6CBB5E0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岳阳市特殊教育学校</w:t>
      </w:r>
      <w:r>
        <w:rPr>
          <w:rFonts w:hint="eastAsia" w:ascii="黑体" w:hAnsi="黑体" w:eastAsia="黑体" w:cs="黑体"/>
          <w:b w:val="0"/>
          <w:bCs/>
          <w:sz w:val="28"/>
          <w:szCs w:val="28"/>
        </w:rPr>
        <w:t>概况</w:t>
      </w:r>
    </w:p>
    <w:p w14:paraId="46BB518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735CAF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0C5DCAE">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7DA80A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4DC6CD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503A46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512EAE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2DA493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939989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1F70DB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F77B78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E59E5E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6011CE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CFCF77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D7F9962">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F42AC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2C805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9D977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3D532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86FEA9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7434BFF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6720496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69D834D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4AC27B0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2AB6849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176156A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0CFCBBC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8D5A6D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0F3BEAE">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D488C8D">
      <w:pPr>
        <w:pStyle w:val="13"/>
        <w:jc w:val="center"/>
        <w:rPr>
          <w:rFonts w:hint="eastAsia" w:ascii="方正小标宋_GBK" w:hAnsi="方正小标宋_GBK" w:eastAsia="方正小标宋_GBK" w:cs="方正小标宋_GBK"/>
          <w:sz w:val="84"/>
          <w:szCs w:val="84"/>
        </w:rPr>
      </w:pPr>
    </w:p>
    <w:p w14:paraId="4D1EBAED">
      <w:pPr>
        <w:pStyle w:val="13"/>
        <w:jc w:val="center"/>
        <w:rPr>
          <w:rFonts w:hint="eastAsia" w:ascii="方正小标宋_GBK" w:hAnsi="方正小标宋_GBK" w:eastAsia="方正小标宋_GBK" w:cs="方正小标宋_GBK"/>
          <w:sz w:val="84"/>
          <w:szCs w:val="84"/>
        </w:rPr>
      </w:pPr>
    </w:p>
    <w:p w14:paraId="2A00C569">
      <w:pPr>
        <w:pStyle w:val="13"/>
        <w:jc w:val="center"/>
        <w:rPr>
          <w:rFonts w:hint="eastAsia" w:ascii="方正小标宋_GBK" w:hAnsi="方正小标宋_GBK" w:eastAsia="方正小标宋_GBK" w:cs="方正小标宋_GBK"/>
          <w:sz w:val="84"/>
          <w:szCs w:val="84"/>
        </w:rPr>
      </w:pPr>
    </w:p>
    <w:p w14:paraId="3C094B52">
      <w:pPr>
        <w:pStyle w:val="13"/>
        <w:jc w:val="center"/>
        <w:rPr>
          <w:rFonts w:hint="eastAsia" w:ascii="方正小标宋_GBK" w:hAnsi="方正小标宋_GBK" w:eastAsia="方正小标宋_GBK" w:cs="方正小标宋_GBK"/>
          <w:sz w:val="84"/>
          <w:szCs w:val="84"/>
        </w:rPr>
      </w:pPr>
    </w:p>
    <w:p w14:paraId="3DE7C2F0">
      <w:pPr>
        <w:pStyle w:val="13"/>
        <w:jc w:val="center"/>
        <w:rPr>
          <w:rFonts w:hint="eastAsia" w:ascii="方正小标宋_GBK" w:hAnsi="方正小标宋_GBK" w:eastAsia="方正小标宋_GBK" w:cs="方正小标宋_GBK"/>
          <w:sz w:val="84"/>
          <w:szCs w:val="84"/>
        </w:rPr>
      </w:pPr>
    </w:p>
    <w:p w14:paraId="78A2F24C">
      <w:pPr>
        <w:pStyle w:val="13"/>
        <w:jc w:val="center"/>
        <w:rPr>
          <w:rFonts w:hint="eastAsia" w:ascii="方正小标宋_GBK" w:hAnsi="方正小标宋_GBK" w:eastAsia="方正小标宋_GBK" w:cs="方正小标宋_GBK"/>
          <w:sz w:val="84"/>
          <w:szCs w:val="84"/>
        </w:rPr>
      </w:pPr>
    </w:p>
    <w:p w14:paraId="58197635">
      <w:pPr>
        <w:pStyle w:val="13"/>
        <w:jc w:val="center"/>
        <w:rPr>
          <w:rFonts w:hint="eastAsia" w:ascii="方正小标宋_GBK" w:hAnsi="方正小标宋_GBK" w:eastAsia="方正小标宋_GBK" w:cs="方正小标宋_GBK"/>
          <w:sz w:val="84"/>
          <w:szCs w:val="84"/>
        </w:rPr>
      </w:pPr>
    </w:p>
    <w:p w14:paraId="263863E9">
      <w:pPr>
        <w:pStyle w:val="13"/>
        <w:jc w:val="center"/>
        <w:rPr>
          <w:rFonts w:hint="eastAsia" w:ascii="方正小标宋_GBK" w:hAnsi="方正小标宋_GBK" w:eastAsia="方正小标宋_GBK" w:cs="方正小标宋_GBK"/>
          <w:sz w:val="84"/>
          <w:szCs w:val="84"/>
        </w:rPr>
      </w:pPr>
    </w:p>
    <w:p w14:paraId="5765A8A2">
      <w:pPr>
        <w:pStyle w:val="13"/>
        <w:jc w:val="center"/>
        <w:rPr>
          <w:rFonts w:hint="eastAsia" w:ascii="方正小标宋_GBK" w:hAnsi="方正小标宋_GBK" w:eastAsia="方正小标宋_GBK" w:cs="方正小标宋_GBK"/>
          <w:sz w:val="84"/>
          <w:szCs w:val="84"/>
        </w:rPr>
      </w:pPr>
    </w:p>
    <w:p w14:paraId="7828691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6F57523">
      <w:pPr>
        <w:pStyle w:val="13"/>
        <w:jc w:val="center"/>
        <w:rPr>
          <w:rFonts w:hint="eastAsia" w:ascii="方正小标宋_GBK" w:hAnsi="方正小标宋_GBK" w:eastAsia="方正小标宋_GBK" w:cs="方正小标宋_GBK"/>
          <w:sz w:val="84"/>
          <w:szCs w:val="84"/>
        </w:rPr>
      </w:pPr>
    </w:p>
    <w:p w14:paraId="53E2809F">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岳阳市特殊教育学校</w:t>
      </w:r>
    </w:p>
    <w:p w14:paraId="78A64CD8">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44CD503F">
      <w:pPr>
        <w:pStyle w:val="8"/>
        <w:rPr>
          <w:rFonts w:hint="eastAsia" w:ascii="方正小标宋_GBK" w:hAnsi="方正小标宋_GBK" w:eastAsia="方正小标宋_GBK" w:cs="方正小标宋_GBK"/>
          <w:sz w:val="84"/>
          <w:szCs w:val="84"/>
        </w:rPr>
      </w:pPr>
    </w:p>
    <w:p w14:paraId="1BAD00AD">
      <w:pPr>
        <w:pStyle w:val="4"/>
        <w:rPr>
          <w:rFonts w:hint="eastAsia" w:ascii="方正小标宋_GBK" w:hAnsi="方正小标宋_GBK" w:eastAsia="方正小标宋_GBK" w:cs="方正小标宋_GBK"/>
          <w:sz w:val="84"/>
          <w:szCs w:val="84"/>
        </w:rPr>
      </w:pPr>
    </w:p>
    <w:p w14:paraId="23647881">
      <w:pPr>
        <w:rPr>
          <w:rFonts w:hint="eastAsia" w:ascii="方正小标宋_GBK" w:hAnsi="方正小标宋_GBK" w:eastAsia="方正小标宋_GBK" w:cs="方正小标宋_GBK"/>
          <w:sz w:val="84"/>
          <w:szCs w:val="84"/>
        </w:rPr>
      </w:pPr>
    </w:p>
    <w:p w14:paraId="47CBA73B">
      <w:pPr>
        <w:pStyle w:val="8"/>
        <w:rPr>
          <w:rFonts w:hint="eastAsia" w:ascii="方正小标宋_GBK" w:hAnsi="方正小标宋_GBK" w:eastAsia="方正小标宋_GBK" w:cs="方正小标宋_GBK"/>
          <w:sz w:val="84"/>
          <w:szCs w:val="84"/>
        </w:rPr>
      </w:pPr>
    </w:p>
    <w:p w14:paraId="47F7C3EC">
      <w:pPr>
        <w:pStyle w:val="4"/>
        <w:rPr>
          <w:rFonts w:hint="eastAsia" w:ascii="方正小标宋_GBK" w:hAnsi="方正小标宋_GBK" w:eastAsia="方正小标宋_GBK" w:cs="方正小标宋_GBK"/>
          <w:sz w:val="84"/>
          <w:szCs w:val="84"/>
        </w:rPr>
      </w:pPr>
    </w:p>
    <w:p w14:paraId="14686116">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A2F21C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bCs/>
          <w:kern w:val="0"/>
          <w:sz w:val="32"/>
          <w:szCs w:val="32"/>
        </w:rPr>
        <w:t>岳阳市特殊教育学校是岳阳市教体局直属的对听障、智障儿童进行教育的学校。</w:t>
      </w:r>
    </w:p>
    <w:p w14:paraId="74F20CA6">
      <w:pPr>
        <w:ind w:firstLine="800" w:firstLineChars="25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bCs/>
          <w:kern w:val="0"/>
          <w:sz w:val="32"/>
          <w:szCs w:val="32"/>
        </w:rPr>
        <w:t>岳阳市特殊教育学校为财政全额拨款事业单位，负责岳阳市区适龄残疾儿童的教育教学工作及市区高一新生的军训工作。</w:t>
      </w:r>
    </w:p>
    <w:p w14:paraId="085C34EA">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29130A9">
      <w:pPr>
        <w:widowControl/>
        <w:spacing w:line="600" w:lineRule="exact"/>
        <w:rPr>
          <w:rFonts w:hint="eastAsia"/>
        </w:rPr>
      </w:pPr>
      <w:r>
        <w:rPr>
          <w:rFonts w:hint="eastAsia" w:ascii="Times New Roman" w:hAnsi="Times New Roman" w:eastAsia="仿宋_GB2312" w:cs="仿宋_GB2312"/>
          <w:bCs/>
          <w:kern w:val="0"/>
          <w:sz w:val="32"/>
          <w:szCs w:val="32"/>
        </w:rPr>
        <w:t>（一）内设机构设置。岳阳市特殊教育学校内设机构包括：办公室、</w:t>
      </w:r>
      <w:r>
        <w:rPr>
          <w:rFonts w:hint="eastAsia" w:ascii="Times New Roman" w:hAnsi="Times New Roman" w:eastAsia="仿宋_GB2312" w:cs="仿宋_GB2312"/>
          <w:bCs/>
          <w:kern w:val="0"/>
          <w:sz w:val="32"/>
          <w:szCs w:val="32"/>
          <w:lang w:eastAsia="zh-CN"/>
        </w:rPr>
        <w:t>工会、</w:t>
      </w:r>
      <w:r>
        <w:rPr>
          <w:rFonts w:hint="eastAsia" w:ascii="Times New Roman" w:hAnsi="Times New Roman" w:eastAsia="仿宋_GB2312" w:cs="仿宋_GB2312"/>
          <w:bCs/>
          <w:kern w:val="0"/>
          <w:sz w:val="32"/>
          <w:szCs w:val="32"/>
        </w:rPr>
        <w:t>政教处、教务处、后勤及军训处。</w:t>
      </w:r>
    </w:p>
    <w:p w14:paraId="2CF1E5F5">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岳阳市特殊教育学校</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w:t>
      </w:r>
      <w:r>
        <w:rPr>
          <w:rFonts w:hint="eastAsia" w:ascii="Times New Roman" w:hAnsi="Times New Roman" w:eastAsia="仿宋_GB2312" w:cs="仿宋_GB2312"/>
          <w:bCs/>
          <w:kern w:val="0"/>
          <w:sz w:val="32"/>
          <w:szCs w:val="32"/>
          <w:lang w:eastAsia="zh-CN"/>
        </w:rPr>
        <w:t>岳阳市特殊教育学校</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32572A59">
      <w:pPr>
        <w:jc w:val="left"/>
        <w:rPr>
          <w:rFonts w:ascii="仿宋_GB2312" w:eastAsia="仿宋_GB2312" w:hAnsiTheme="minorEastAsia"/>
          <w:sz w:val="28"/>
          <w:szCs w:val="32"/>
        </w:rPr>
      </w:pPr>
    </w:p>
    <w:p w14:paraId="7913736B"/>
    <w:p w14:paraId="0577FABB">
      <w:pPr>
        <w:pStyle w:val="8"/>
      </w:pPr>
    </w:p>
    <w:p w14:paraId="574F84A0">
      <w:pPr>
        <w:pStyle w:val="4"/>
      </w:pPr>
    </w:p>
    <w:p w14:paraId="7591F7EA"/>
    <w:p w14:paraId="3CC196DB">
      <w:pPr>
        <w:pStyle w:val="8"/>
      </w:pPr>
    </w:p>
    <w:p w14:paraId="10AD63E0">
      <w:pPr>
        <w:pStyle w:val="4"/>
      </w:pPr>
    </w:p>
    <w:p w14:paraId="73809A7E"/>
    <w:p w14:paraId="597D581B">
      <w:pPr>
        <w:pStyle w:val="8"/>
      </w:pPr>
    </w:p>
    <w:p w14:paraId="4EE42DFB">
      <w:pPr>
        <w:pStyle w:val="4"/>
      </w:pPr>
    </w:p>
    <w:p w14:paraId="75FBF771"/>
    <w:p w14:paraId="414BC5EE">
      <w:pPr>
        <w:pStyle w:val="8"/>
      </w:pPr>
    </w:p>
    <w:p w14:paraId="0D1BC52F">
      <w:pPr>
        <w:pStyle w:val="4"/>
      </w:pPr>
    </w:p>
    <w:p w14:paraId="7AE4EC66"/>
    <w:p w14:paraId="66AC8D6A">
      <w:pPr>
        <w:pStyle w:val="8"/>
      </w:pPr>
    </w:p>
    <w:p w14:paraId="5A3B93C7">
      <w:pPr>
        <w:pStyle w:val="4"/>
      </w:pPr>
    </w:p>
    <w:p w14:paraId="63351F80"/>
    <w:p w14:paraId="19D381DD">
      <w:pPr>
        <w:pStyle w:val="8"/>
      </w:pPr>
    </w:p>
    <w:p w14:paraId="0F1D880C">
      <w:pPr>
        <w:pStyle w:val="4"/>
      </w:pPr>
    </w:p>
    <w:p w14:paraId="2F2DB6F4"/>
    <w:p w14:paraId="69CD2C09">
      <w:pPr>
        <w:pStyle w:val="8"/>
      </w:pPr>
    </w:p>
    <w:p w14:paraId="4C9C06DA">
      <w:pPr>
        <w:pStyle w:val="4"/>
      </w:pPr>
    </w:p>
    <w:p w14:paraId="33599CA9"/>
    <w:p w14:paraId="51190799">
      <w:pPr>
        <w:pStyle w:val="8"/>
      </w:pPr>
    </w:p>
    <w:p w14:paraId="2A2DE799">
      <w:pPr>
        <w:pStyle w:val="4"/>
      </w:pPr>
    </w:p>
    <w:p w14:paraId="11736004"/>
    <w:p w14:paraId="6514432A">
      <w:pPr>
        <w:pStyle w:val="13"/>
        <w:jc w:val="center"/>
        <w:rPr>
          <w:rFonts w:hint="eastAsia" w:ascii="方正小标宋_GBK" w:hAnsi="方正小标宋_GBK" w:eastAsia="方正小标宋_GBK" w:cs="方正小标宋_GBK"/>
          <w:sz w:val="84"/>
          <w:szCs w:val="84"/>
        </w:rPr>
      </w:pPr>
    </w:p>
    <w:p w14:paraId="6D5CC944">
      <w:pPr>
        <w:pStyle w:val="13"/>
        <w:jc w:val="center"/>
        <w:rPr>
          <w:rFonts w:hint="eastAsia" w:ascii="方正小标宋_GBK" w:hAnsi="方正小标宋_GBK" w:eastAsia="方正小标宋_GBK" w:cs="方正小标宋_GBK"/>
          <w:sz w:val="84"/>
          <w:szCs w:val="84"/>
        </w:rPr>
      </w:pPr>
    </w:p>
    <w:p w14:paraId="4BD42AC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488A480">
      <w:pPr>
        <w:pStyle w:val="13"/>
        <w:jc w:val="center"/>
        <w:rPr>
          <w:rFonts w:hint="eastAsia" w:ascii="方正小标宋_GBK" w:hAnsi="方正小标宋_GBK" w:eastAsia="方正小标宋_GBK" w:cs="方正小标宋_GBK"/>
          <w:sz w:val="84"/>
          <w:szCs w:val="84"/>
        </w:rPr>
      </w:pPr>
    </w:p>
    <w:p w14:paraId="0C07228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08342CC">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118DDB10">
      <w:pPr>
        <w:pStyle w:val="13"/>
        <w:jc w:val="center"/>
        <w:rPr>
          <w:rFonts w:hint="eastAsia" w:ascii="仿宋_GB2312" w:hAnsi="仿宋_GB2312" w:eastAsia="仿宋_GB2312" w:cs="仿宋_GB2312"/>
          <w:b w:val="0"/>
          <w:bCs w:val="0"/>
          <w:sz w:val="72"/>
          <w:szCs w:val="72"/>
          <w:lang w:eastAsia="zh-CN"/>
        </w:rPr>
      </w:pPr>
    </w:p>
    <w:p w14:paraId="6D2A9B8E">
      <w:pPr>
        <w:pStyle w:val="13"/>
        <w:jc w:val="center"/>
        <w:rPr>
          <w:rFonts w:hint="eastAsia" w:ascii="仿宋_GB2312" w:hAnsi="仿宋_GB2312" w:eastAsia="仿宋_GB2312" w:cs="仿宋_GB2312"/>
          <w:b w:val="0"/>
          <w:bCs w:val="0"/>
          <w:sz w:val="72"/>
          <w:szCs w:val="72"/>
          <w:lang w:eastAsia="zh-CN"/>
        </w:rPr>
      </w:pPr>
    </w:p>
    <w:p w14:paraId="715B47D0">
      <w:pPr>
        <w:pStyle w:val="13"/>
        <w:jc w:val="center"/>
        <w:rPr>
          <w:rFonts w:hint="eastAsia" w:ascii="仿宋_GB2312" w:hAnsi="仿宋_GB2312" w:eastAsia="仿宋_GB2312" w:cs="仿宋_GB2312"/>
          <w:b w:val="0"/>
          <w:bCs w:val="0"/>
          <w:sz w:val="72"/>
          <w:szCs w:val="72"/>
          <w:lang w:eastAsia="zh-CN"/>
        </w:rPr>
      </w:pPr>
    </w:p>
    <w:p w14:paraId="4A83E9E8">
      <w:pPr>
        <w:pStyle w:val="13"/>
        <w:jc w:val="center"/>
        <w:rPr>
          <w:rFonts w:hint="eastAsia" w:ascii="仿宋_GB2312" w:hAnsi="仿宋_GB2312" w:eastAsia="仿宋_GB2312" w:cs="仿宋_GB2312"/>
          <w:b w:val="0"/>
          <w:bCs w:val="0"/>
          <w:sz w:val="72"/>
          <w:szCs w:val="72"/>
          <w:lang w:eastAsia="zh-CN"/>
        </w:rPr>
      </w:pPr>
    </w:p>
    <w:p w14:paraId="25A92438">
      <w:pPr>
        <w:pStyle w:val="13"/>
        <w:jc w:val="center"/>
        <w:rPr>
          <w:rFonts w:hint="eastAsia" w:ascii="仿宋_GB2312" w:hAnsi="仿宋_GB2312" w:eastAsia="仿宋_GB2312" w:cs="仿宋_GB2312"/>
          <w:b w:val="0"/>
          <w:bCs w:val="0"/>
          <w:sz w:val="72"/>
          <w:szCs w:val="72"/>
          <w:lang w:eastAsia="zh-CN"/>
        </w:rPr>
      </w:pPr>
    </w:p>
    <w:p w14:paraId="76E00DD6">
      <w:pPr>
        <w:pStyle w:val="13"/>
        <w:jc w:val="center"/>
        <w:rPr>
          <w:rFonts w:hint="eastAsia" w:ascii="仿宋_GB2312" w:hAnsi="仿宋_GB2312" w:eastAsia="仿宋_GB2312" w:cs="仿宋_GB2312"/>
          <w:b w:val="0"/>
          <w:bCs w:val="0"/>
          <w:sz w:val="72"/>
          <w:szCs w:val="72"/>
          <w:lang w:eastAsia="zh-CN"/>
        </w:rPr>
      </w:pPr>
    </w:p>
    <w:p w14:paraId="4574F5DC">
      <w:pPr>
        <w:pStyle w:val="13"/>
        <w:jc w:val="center"/>
        <w:rPr>
          <w:rFonts w:hint="eastAsia" w:ascii="仿宋_GB2312" w:hAnsi="仿宋_GB2312" w:eastAsia="仿宋_GB2312" w:cs="仿宋_GB2312"/>
          <w:b w:val="0"/>
          <w:bCs w:val="0"/>
          <w:sz w:val="72"/>
          <w:szCs w:val="72"/>
          <w:lang w:eastAsia="zh-CN"/>
        </w:rPr>
      </w:pPr>
    </w:p>
    <w:p w14:paraId="7D657649">
      <w:pPr>
        <w:pStyle w:val="13"/>
        <w:jc w:val="center"/>
        <w:rPr>
          <w:rFonts w:hint="eastAsia" w:ascii="方正小标宋_GBK" w:hAnsi="方正小标宋_GBK" w:eastAsia="方正小标宋_GBK" w:cs="方正小标宋_GBK"/>
          <w:sz w:val="72"/>
          <w:szCs w:val="72"/>
        </w:rPr>
      </w:pPr>
    </w:p>
    <w:p w14:paraId="6C533DE8">
      <w:pPr>
        <w:pStyle w:val="13"/>
        <w:jc w:val="center"/>
        <w:rPr>
          <w:rFonts w:hint="eastAsia" w:ascii="方正小标宋_GBK" w:hAnsi="方正小标宋_GBK" w:eastAsia="方正小标宋_GBK" w:cs="方正小标宋_GBK"/>
          <w:sz w:val="72"/>
          <w:szCs w:val="72"/>
        </w:rPr>
      </w:pPr>
    </w:p>
    <w:p w14:paraId="6C86123F">
      <w:pPr>
        <w:pStyle w:val="13"/>
        <w:jc w:val="both"/>
        <w:rPr>
          <w:rFonts w:hint="eastAsia" w:ascii="方正小标宋_GBK" w:hAnsi="方正小标宋_GBK" w:eastAsia="方正小标宋_GBK" w:cs="方正小标宋_GBK"/>
          <w:sz w:val="72"/>
          <w:szCs w:val="72"/>
        </w:rPr>
      </w:pPr>
    </w:p>
    <w:p w14:paraId="51B95572">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BBC5027">
      <w:pPr>
        <w:pStyle w:val="13"/>
        <w:jc w:val="center"/>
        <w:rPr>
          <w:rFonts w:hint="eastAsia" w:ascii="方正小标宋_GBK" w:hAnsi="方正小标宋_GBK" w:eastAsia="方正小标宋_GBK" w:cs="方正小标宋_GBK"/>
          <w:sz w:val="70"/>
          <w:szCs w:val="70"/>
        </w:rPr>
      </w:pPr>
    </w:p>
    <w:p w14:paraId="7982D86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87EEAF1">
      <w:pPr>
        <w:pStyle w:val="13"/>
        <w:jc w:val="center"/>
        <w:rPr>
          <w:rFonts w:hint="eastAsia" w:ascii="方正小标宋_GBK" w:hAnsi="方正小标宋_GBK" w:eastAsia="方正小标宋_GBK" w:cs="方正小标宋_GBK"/>
          <w:sz w:val="70"/>
          <w:szCs w:val="70"/>
        </w:rPr>
      </w:pPr>
    </w:p>
    <w:p w14:paraId="1D4E0749">
      <w:pPr>
        <w:pStyle w:val="13"/>
        <w:jc w:val="center"/>
        <w:rPr>
          <w:rFonts w:hint="eastAsia" w:ascii="方正小标宋_GBK" w:hAnsi="方正小标宋_GBK" w:eastAsia="方正小标宋_GBK" w:cs="方正小标宋_GBK"/>
          <w:sz w:val="70"/>
          <w:szCs w:val="70"/>
        </w:rPr>
      </w:pPr>
    </w:p>
    <w:p w14:paraId="77F716D9">
      <w:pPr>
        <w:pStyle w:val="13"/>
        <w:jc w:val="center"/>
        <w:rPr>
          <w:rFonts w:hint="eastAsia" w:ascii="方正小标宋_GBK" w:hAnsi="方正小标宋_GBK" w:eastAsia="方正小标宋_GBK" w:cs="方正小标宋_GBK"/>
          <w:sz w:val="70"/>
          <w:szCs w:val="70"/>
        </w:rPr>
      </w:pPr>
    </w:p>
    <w:p w14:paraId="3EC6B138">
      <w:pPr>
        <w:pStyle w:val="13"/>
        <w:jc w:val="center"/>
        <w:rPr>
          <w:rFonts w:hint="eastAsia" w:ascii="方正小标宋_GBK" w:hAnsi="方正小标宋_GBK" w:eastAsia="方正小标宋_GBK" w:cs="方正小标宋_GBK"/>
          <w:sz w:val="70"/>
          <w:szCs w:val="70"/>
        </w:rPr>
      </w:pPr>
    </w:p>
    <w:p w14:paraId="54AAB54D">
      <w:pPr>
        <w:pStyle w:val="13"/>
        <w:jc w:val="center"/>
        <w:rPr>
          <w:rFonts w:hint="eastAsia" w:ascii="方正小标宋_GBK" w:hAnsi="方正小标宋_GBK" w:eastAsia="方正小标宋_GBK" w:cs="方正小标宋_GBK"/>
          <w:sz w:val="70"/>
          <w:szCs w:val="70"/>
        </w:rPr>
      </w:pPr>
    </w:p>
    <w:p w14:paraId="0A4C6E66">
      <w:pPr>
        <w:pStyle w:val="13"/>
        <w:jc w:val="center"/>
        <w:rPr>
          <w:rFonts w:hint="eastAsia" w:ascii="方正小标宋_GBK" w:hAnsi="方正小标宋_GBK" w:eastAsia="方正小标宋_GBK" w:cs="方正小标宋_GBK"/>
          <w:sz w:val="70"/>
          <w:szCs w:val="70"/>
        </w:rPr>
      </w:pPr>
    </w:p>
    <w:p w14:paraId="3976C13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021557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C6651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1799.84</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354.18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专项资金收支增长。</w:t>
      </w:r>
    </w:p>
    <w:p w14:paraId="355C1F7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D047D3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1799.84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1763.71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36.14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57CD23C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DAC1F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1799.84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1409.4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78.31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390.44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21.69</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4C92B2A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7091B90">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1763.71</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320.15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22.18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专项资金收支增长。</w:t>
      </w:r>
    </w:p>
    <w:p w14:paraId="571BB8F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4A5E90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5940CDA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1763.71</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320.15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22.18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专项资金收支增长。</w:t>
      </w:r>
    </w:p>
    <w:p w14:paraId="42E0DB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620A4F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1763.71</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%；教育（类）支出</w:t>
      </w:r>
      <w:r>
        <w:rPr>
          <w:rFonts w:hint="eastAsia" w:ascii="仿宋_GB2312" w:hAnsi="仿宋_GB2312" w:eastAsia="仿宋_GB2312" w:cs="仿宋_GB2312"/>
          <w:sz w:val="32"/>
          <w:szCs w:val="32"/>
          <w:lang w:val="en-US" w:eastAsia="zh-CN"/>
        </w:rPr>
        <w:t>1500.13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社会保障和就业（类）支出</w:t>
      </w:r>
      <w:r>
        <w:rPr>
          <w:rFonts w:hint="eastAsia" w:ascii="仿宋_GB2312" w:hAnsi="仿宋_GB2312" w:eastAsia="仿宋_GB2312" w:cs="仿宋_GB2312"/>
          <w:sz w:val="32"/>
          <w:szCs w:val="32"/>
          <w:lang w:val="en-US" w:eastAsia="zh-CN"/>
        </w:rPr>
        <w:t>106.37万元，占6.03%；卫生健康（类）支出88.63万元，占5.03%；住房保障（类）支出68.57万元，占3.88%。</w:t>
      </w:r>
    </w:p>
    <w:p w14:paraId="42AC4C9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6DCA3D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1118.39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1763.71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157.7</w:t>
      </w:r>
      <w:r>
        <w:rPr>
          <w:rFonts w:hint="eastAsia" w:ascii="仿宋_GB2312" w:hAnsi="仿宋_GB2312" w:eastAsia="仿宋_GB2312" w:cs="仿宋_GB2312"/>
          <w:sz w:val="32"/>
          <w:szCs w:val="32"/>
        </w:rPr>
        <w:t>%，其中：</w:t>
      </w:r>
    </w:p>
    <w:p w14:paraId="62E1CB4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教育管理事务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14:paraId="00831F71">
      <w:pPr>
        <w:pStyle w:val="13"/>
        <w:spacing w:line="600" w:lineRule="exact"/>
        <w:ind w:firstLine="800" w:firstLineChars="2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60.94</w:t>
      </w:r>
      <w:r>
        <w:rPr>
          <w:rFonts w:hint="eastAsia" w:ascii="仿宋_GB2312" w:hAnsi="仿宋_GB2312" w:eastAsia="仿宋_GB2312" w:cs="仿宋_GB2312"/>
          <w:sz w:val="32"/>
          <w:szCs w:val="32"/>
        </w:rPr>
        <w:t>万元，决算数大于年初预算数的主要原因是：</w:t>
      </w:r>
      <w:r>
        <w:rPr>
          <w:rFonts w:hint="eastAsia" w:ascii="仿宋_GB2312" w:hAnsi="仿宋" w:eastAsia="仿宋_GB2312"/>
          <w:sz w:val="32"/>
          <w:szCs w:val="32"/>
        </w:rPr>
        <w:t>上年年终奖发放变动。</w:t>
      </w:r>
    </w:p>
    <w:p w14:paraId="4E12525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教育管理事务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14:paraId="65196A9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退休教职工年终一个月工资奖未纳入年初预算。</w:t>
      </w:r>
    </w:p>
    <w:p w14:paraId="0AF5D143">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教育支出（类）普通教育（款）其他普通教育支出（项）</w:t>
      </w:r>
    </w:p>
    <w:p w14:paraId="0852C02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62.41</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val="en-US" w:eastAsia="zh-CN"/>
        </w:rPr>
        <w:t>2023年人员经费补差及基础教育发展专项资金未纳入预算。</w:t>
      </w:r>
    </w:p>
    <w:p w14:paraId="1AFBD167">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教育支出（类）特殊教育（款）特殊学校教育（项）</w:t>
      </w:r>
    </w:p>
    <w:p w14:paraId="20FE949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761.23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1032.73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完成年初预算的</w:t>
      </w:r>
      <w:r>
        <w:rPr>
          <w:rFonts w:hint="eastAsia" w:ascii="仿宋_GB2312" w:hAnsi="仿宋_GB2312" w:eastAsia="仿宋_GB2312" w:cs="仿宋_GB2312"/>
          <w:sz w:val="32"/>
          <w:szCs w:val="32"/>
          <w:highlight w:val="none"/>
          <w:lang w:val="en-US" w:eastAsia="zh-CN"/>
        </w:rPr>
        <w:t>135.7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2022年结转资金及2023年专项资金等未纳入预算。</w:t>
      </w:r>
    </w:p>
    <w:p w14:paraId="64F36962">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教育支出（类）教育费附加安排的支出（款）其他教育费附加安排的支出（项）</w:t>
      </w:r>
    </w:p>
    <w:p w14:paraId="40EAA4E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242.47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230.9</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2023年各类教师岗位补贴及专项资金未纳入年初预算。</w:t>
      </w:r>
    </w:p>
    <w:p w14:paraId="1074F41F">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教育支出（类）其他教育支出（款）其他教育支出（项）</w:t>
      </w:r>
    </w:p>
    <w:p w14:paraId="4C9DDAA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98.39</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val="en-US" w:eastAsia="zh-CN"/>
        </w:rPr>
        <w:t>2023年城乡义务教育经费保障资金未纳入年初预算。</w:t>
      </w:r>
    </w:p>
    <w:p w14:paraId="25349696">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社会保障和就业支出（类）行政事业单位养老支出（款）事业单位离退休（项）</w:t>
      </w:r>
    </w:p>
    <w:p w14:paraId="1660640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10.12</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上年结转资金未纳入年初预算。</w:t>
      </w:r>
    </w:p>
    <w:p w14:paraId="4DC1D244">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社会保障和就业支出（类）行政事业单位养老支出（款）机关事业单位基本养老保险缴费支出（项）</w:t>
      </w:r>
    </w:p>
    <w:p w14:paraId="0B67D0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73.07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73.07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决算数等于年初预算数的主要原因是单位基本养老保险资金已纳入年初预算数</w:t>
      </w:r>
      <w:r>
        <w:rPr>
          <w:rFonts w:hint="eastAsia" w:ascii="仿宋_GB2312" w:hAnsi="仿宋_GB2312" w:eastAsia="仿宋_GB2312" w:cs="仿宋_GB2312"/>
          <w:sz w:val="32"/>
          <w:szCs w:val="32"/>
          <w:lang w:eastAsia="zh-CN"/>
        </w:rPr>
        <w:t>。</w:t>
      </w:r>
    </w:p>
    <w:p w14:paraId="54D94754">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社会保障和就业支出（类）其他社会保障和就业支出（款）其他社会保障和就业支出（项）</w:t>
      </w:r>
    </w:p>
    <w:p w14:paraId="20E2F9D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23.18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1016.7</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2023年人员经费补差未纳入年初预算。</w:t>
      </w:r>
    </w:p>
    <w:p w14:paraId="1EBD33B2">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卫生健康支出（类）行政事业单位医疗（款）事业单位医疗（项）</w:t>
      </w:r>
    </w:p>
    <w:p w14:paraId="7ED1A46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31.96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决算数等于年初预算数的主要原因是事业单位医疗保险资金已纳入年初预算数</w:t>
      </w:r>
      <w:r>
        <w:rPr>
          <w:rFonts w:hint="eastAsia" w:ascii="仿宋_GB2312" w:hAnsi="仿宋_GB2312" w:eastAsia="仿宋_GB2312" w:cs="仿宋_GB2312"/>
          <w:sz w:val="32"/>
          <w:szCs w:val="32"/>
          <w:lang w:eastAsia="zh-CN"/>
        </w:rPr>
        <w:t>。</w:t>
      </w:r>
    </w:p>
    <w:p w14:paraId="7537BB55">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卫生健康支出（类）行政事业单位医疗（款）公务员医疗补助（项）</w:t>
      </w:r>
    </w:p>
    <w:p w14:paraId="347DDE3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76.28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56.67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74.29</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公务员医疗补助财政代扣部分直接由财政代扣未纳入单位支出。</w:t>
      </w:r>
    </w:p>
    <w:p w14:paraId="35495F37">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住房保障支出（类）住房改革支出（款）住房公积金（项）</w:t>
      </w:r>
    </w:p>
    <w:p w14:paraId="245BF732">
      <w:pPr>
        <w:widowControl w:val="0"/>
        <w:numPr>
          <w:ilvl w:val="0"/>
          <w:numId w:val="0"/>
        </w:numPr>
        <w:autoSpaceDE w:val="0"/>
        <w:autoSpaceDN w:val="0"/>
        <w:adjustRightInd w:val="0"/>
        <w:ind w:firstLine="960" w:firstLineChars="3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年初预算为68.57万元，支出决算为68.57万元，</w:t>
      </w:r>
      <w:r>
        <w:rPr>
          <w:rFonts w:hint="eastAsia" w:ascii="仿宋_GB2312" w:hAnsi="仿宋_GB2312" w:eastAsia="仿宋_GB2312" w:cs="仿宋_GB2312"/>
          <w:sz w:val="32"/>
          <w:szCs w:val="32"/>
          <w:lang w:val="en-US" w:eastAsia="zh-CN"/>
        </w:rPr>
        <w:t>决算数等于年初预算数的主要原因是住房公积金资金已纳入年初预算数</w:t>
      </w:r>
      <w:r>
        <w:rPr>
          <w:rFonts w:hint="eastAsia" w:ascii="仿宋_GB2312" w:hAnsi="仿宋_GB2312" w:eastAsia="仿宋_GB2312" w:cs="仿宋_GB2312"/>
          <w:color w:val="000000"/>
          <w:kern w:val="0"/>
          <w:sz w:val="32"/>
          <w:szCs w:val="32"/>
          <w:lang w:val="en-US" w:eastAsia="zh-CN" w:bidi="ar-SA"/>
        </w:rPr>
        <w:t>。</w:t>
      </w:r>
    </w:p>
    <w:p w14:paraId="116BEE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33958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1373.26</w:t>
      </w:r>
      <w:r>
        <w:rPr>
          <w:rFonts w:hint="eastAsia" w:ascii="仿宋_GB2312" w:hAnsi="仿宋_GB2312" w:eastAsia="仿宋_GB2312" w:cs="仿宋_GB2312"/>
          <w:sz w:val="32"/>
          <w:szCs w:val="32"/>
        </w:rPr>
        <w:t>万元，其中：</w:t>
      </w:r>
    </w:p>
    <w:p w14:paraId="018B9A78">
      <w:pPr>
        <w:pStyle w:val="13"/>
        <w:spacing w:line="60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1036.15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75.45</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绩效工资、机关事业单位基本养老保险缴费、职业年金缴费、职工基本医疗保险缴费、</w:t>
      </w:r>
      <w:r>
        <w:rPr>
          <w:rFonts w:hint="eastAsia" w:ascii="Times New Roman" w:hAnsi="Times New Roman" w:eastAsia="仿宋_GB2312"/>
          <w:sz w:val="32"/>
          <w:szCs w:val="32"/>
          <w:lang w:val="zh-CN"/>
        </w:rPr>
        <w:t>其他社会保障缴费、住房公积金、退休费、生活补助、其它对个人及家庭的补助</w:t>
      </w:r>
      <w:r>
        <w:rPr>
          <w:rFonts w:hint="eastAsia" w:ascii="Times New Roman" w:hAnsi="Times New Roman" w:eastAsia="仿宋_GB2312"/>
          <w:sz w:val="32"/>
          <w:szCs w:val="32"/>
        </w:rPr>
        <w:t>。</w:t>
      </w:r>
    </w:p>
    <w:p w14:paraId="38B1E98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337.11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24.55</w:t>
      </w:r>
      <w:r>
        <w:rPr>
          <w:rFonts w:hint="eastAsia" w:ascii="仿宋_GB2312" w:hAnsi="仿宋_GB2312" w:eastAsia="仿宋_GB2312" w:cs="仿宋_GB2312"/>
          <w:sz w:val="32"/>
          <w:szCs w:val="32"/>
        </w:rPr>
        <w:t>%，主要包括办公费、印刷费、咨询费、</w:t>
      </w:r>
      <w:r>
        <w:rPr>
          <w:rFonts w:hint="eastAsia" w:ascii="仿宋_GB2312" w:hAnsi="仿宋_GB2312" w:eastAsia="仿宋_GB2312" w:cs="仿宋_GB2312"/>
          <w:sz w:val="32"/>
          <w:szCs w:val="32"/>
          <w:lang w:eastAsia="zh-CN"/>
        </w:rPr>
        <w:t>水费、电费、邮电费、物业管理费、差旅费、维修（护）费、培训费、专用材料费、劳务费、委托业务费、工会经费、福利费、其他交通费、其他商品和服务支出</w:t>
      </w:r>
      <w:r>
        <w:rPr>
          <w:rFonts w:hint="eastAsia" w:ascii="仿宋_GB2312" w:hAnsi="仿宋_GB2312" w:eastAsia="仿宋_GB2312" w:cs="仿宋_GB2312"/>
          <w:sz w:val="32"/>
          <w:szCs w:val="32"/>
        </w:rPr>
        <w:t>。</w:t>
      </w:r>
    </w:p>
    <w:p w14:paraId="0EAA31B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2FE0DE29">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4807529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21702DD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960" w:firstLineChars="3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14:paraId="119A482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7C3A57C5">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“三公”经费财政拨款支出决算总体情况说明  </w:t>
      </w:r>
    </w:p>
    <w:p w14:paraId="533538A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2023年度“三公”经费财政拨款支出预算为0万元，支出决算为0万元，决算数等于预算数。其中：  </w:t>
      </w:r>
    </w:p>
    <w:p w14:paraId="5043DE2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50535AE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14:paraId="5BE9177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14:paraId="74DCF4A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14:paraId="249F29A5">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“三公”经费财政拨款支出决算具体情况说明  </w:t>
      </w:r>
    </w:p>
    <w:p w14:paraId="0161505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14:paraId="6225905C">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因公出国（境）费支出决算为0万元，全年安排因公出国（境）团组0个，累计0人次，我单位2023年度无因公出国（境）费支出。  </w:t>
      </w:r>
    </w:p>
    <w:p w14:paraId="54AE86DF">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公务接待费支出决算为0万元，全年共接待来访团组0个、来宾0人次，我单位2023年度无公务接待费支出。  </w:t>
      </w:r>
    </w:p>
    <w:p w14:paraId="08C885E5">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公务用车购置费及运行维护费支出决算为0万元，其中：公务用车购置费0万元，当年没有购置公务用车。公务用车运行维护费0万元，截至2023年12月31日，我单位开支财政拨款的公务用车保有量为1辆。</w:t>
      </w:r>
    </w:p>
    <w:p w14:paraId="1C14C15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p>
    <w:p w14:paraId="6B37FBA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2751E64">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本级和所属单位均为事业单位，按照机关运行经费的口径，本年度机关运行经费为0。</w:t>
      </w:r>
    </w:p>
    <w:p w14:paraId="2EA8372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3CB0E109">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年度，本单位无会议费的预算和支出决算数。</w:t>
      </w:r>
    </w:p>
    <w:p w14:paraId="09CF66DD">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培训费年初预算0万元，支出决算为7.63万元，决算数大于年初预算数的主要原因是各类教育教学培训为临时性培训未纳入年初预算。用于开展各级各类教育教学培训，人数53人，内容为</w:t>
      </w:r>
      <w:r>
        <w:rPr>
          <w:rFonts w:hint="eastAsia" w:ascii="仿宋_GB2312" w:hAnsi="仿宋_GB2312" w:eastAsia="仿宋_GB2312" w:cs="仿宋_GB2312"/>
          <w:sz w:val="32"/>
          <w:szCs w:val="32"/>
          <w:lang w:val="en-US" w:eastAsia="zh-CN"/>
        </w:rPr>
        <w:t>国际中小学智慧教育平台的2023教师寒假研修、信息技术应用能力2.0培训等</w:t>
      </w:r>
      <w:r>
        <w:rPr>
          <w:rFonts w:hint="eastAsia" w:ascii="仿宋_GB2312" w:hAnsi="仿宋_GB2312" w:eastAsia="仿宋_GB2312" w:cs="仿宋_GB2312"/>
          <w:color w:val="000000"/>
          <w:kern w:val="0"/>
          <w:sz w:val="32"/>
          <w:szCs w:val="32"/>
          <w:lang w:val="en-US" w:eastAsia="zh-CN" w:bidi="ar-SA"/>
        </w:rPr>
        <w:t>。</w:t>
      </w:r>
    </w:p>
    <w:p w14:paraId="4FE5CBD2">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0FC1D6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0E68D83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（由于预算数为</w:t>
      </w:r>
      <w:r>
        <w:rPr>
          <w:rFonts w:hint="eastAsia" w:ascii="仿宋_GB2312" w:hAnsi="仿宋_GB2312" w:eastAsia="仿宋_GB2312" w:cs="仿宋_GB2312"/>
          <w:sz w:val="32"/>
          <w:szCs w:val="32"/>
          <w:lang w:val="en-US" w:eastAsia="zh-CN"/>
        </w:rPr>
        <w:t>0，故无法计算</w:t>
      </w:r>
      <w:r>
        <w:rPr>
          <w:rFonts w:hint="eastAsia" w:ascii="仿宋_GB2312" w:hAnsi="仿宋_GB2312" w:eastAsia="仿宋_GB2312" w:cs="仿宋_GB2312"/>
          <w:sz w:val="32"/>
          <w:szCs w:val="32"/>
        </w:rPr>
        <w:t>占政府采购支出总额的</w:t>
      </w:r>
      <w:r>
        <w:rPr>
          <w:rFonts w:hint="eastAsia" w:ascii="仿宋_GB2312" w:hAnsi="仿宋_GB2312" w:eastAsia="仿宋_GB2312" w:cs="仿宋_GB2312"/>
          <w:sz w:val="32"/>
          <w:szCs w:val="32"/>
          <w:lang w:eastAsia="zh-CN"/>
        </w:rPr>
        <w:t>比重）</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（由于预算数为</w:t>
      </w:r>
      <w:r>
        <w:rPr>
          <w:rFonts w:hint="eastAsia" w:ascii="仿宋_GB2312" w:hAnsi="仿宋_GB2312" w:eastAsia="仿宋_GB2312" w:cs="仿宋_GB2312"/>
          <w:sz w:val="32"/>
          <w:szCs w:val="32"/>
          <w:lang w:val="en-US" w:eastAsia="zh-CN"/>
        </w:rPr>
        <w:t>0，故无法计算</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eastAsia="zh-CN"/>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比重）</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eastAsia="仿宋_GB2312" w:cs="仿宋_GB2312"/>
          <w:sz w:val="32"/>
          <w:szCs w:val="32"/>
          <w:lang w:eastAsia="zh-CN"/>
        </w:rPr>
        <w:t>比重</w:t>
      </w:r>
      <w:r>
        <w:rPr>
          <w:rFonts w:hint="eastAsia" w:ascii="仿宋_GB2312" w:hAnsi="仿宋_GB2312" w:eastAsia="仿宋_GB2312" w:cs="仿宋_GB2312"/>
          <w:sz w:val="32"/>
          <w:szCs w:val="32"/>
        </w:rPr>
        <w:t>，工程采购授予中小企业合同金额占工程支出金额的</w:t>
      </w:r>
      <w:r>
        <w:rPr>
          <w:rFonts w:hint="eastAsia" w:ascii="仿宋_GB2312" w:hAnsi="仿宋_GB2312" w:eastAsia="仿宋_GB2312" w:cs="仿宋_GB2312"/>
          <w:sz w:val="32"/>
          <w:szCs w:val="32"/>
          <w:lang w:eastAsia="zh-CN"/>
        </w:rPr>
        <w:t>比重</w:t>
      </w:r>
      <w:r>
        <w:rPr>
          <w:rFonts w:hint="eastAsia" w:ascii="仿宋_GB2312" w:hAnsi="仿宋_GB2312" w:eastAsia="仿宋_GB2312" w:cs="仿宋_GB2312"/>
          <w:sz w:val="32"/>
          <w:szCs w:val="32"/>
        </w:rPr>
        <w:t>，服务采购授予中小企业合同金额占服务支出金额的</w:t>
      </w:r>
      <w:r>
        <w:rPr>
          <w:rFonts w:hint="eastAsia" w:ascii="仿宋_GB2312" w:hAnsi="仿宋_GB2312" w:eastAsia="仿宋_GB2312" w:cs="仿宋_GB2312"/>
          <w:sz w:val="32"/>
          <w:szCs w:val="32"/>
          <w:lang w:eastAsia="zh-CN"/>
        </w:rPr>
        <w:t>比重，由于各项预算数为</w:t>
      </w:r>
      <w:r>
        <w:rPr>
          <w:rFonts w:hint="eastAsia" w:ascii="仿宋_GB2312" w:hAnsi="仿宋_GB2312" w:eastAsia="仿宋_GB2312" w:cs="仿宋_GB2312"/>
          <w:sz w:val="32"/>
          <w:szCs w:val="32"/>
          <w:lang w:val="en-US" w:eastAsia="zh-CN"/>
        </w:rPr>
        <w:t>0，故无法计算各项占比</w:t>
      </w:r>
      <w:r>
        <w:rPr>
          <w:rFonts w:hint="eastAsia" w:ascii="仿宋_GB2312" w:hAnsi="仿宋_GB2312" w:eastAsia="仿宋_GB2312" w:cs="仿宋_GB2312"/>
          <w:sz w:val="32"/>
          <w:szCs w:val="32"/>
        </w:rPr>
        <w:t>。</w:t>
      </w:r>
    </w:p>
    <w:p w14:paraId="29685DC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7FCCF47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32443CF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39C470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A33436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1BBFF7F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w:t>
      </w:r>
      <w:r>
        <w:rPr>
          <w:rFonts w:hint="eastAsia" w:ascii="仿宋_GB2312" w:hAnsi="仿宋_GB2312" w:eastAsia="仿宋_GB2312" w:cs="仿宋_GB2312"/>
          <w:b w:val="0"/>
          <w:bCs w:val="0"/>
          <w:color w:val="auto"/>
          <w:kern w:val="0"/>
          <w:sz w:val="32"/>
          <w:szCs w:val="32"/>
          <w:lang w:val="en-US" w:eastAsia="zh-CN" w:bidi="ar-SA"/>
        </w:rPr>
        <w:t>一般公共预算支出1763.71</w:t>
      </w:r>
      <w:r>
        <w:rPr>
          <w:rFonts w:hint="eastAsia" w:ascii="仿宋_GB2312" w:hAnsi="仿宋_GB2312" w:eastAsia="仿宋_GB2312" w:cs="仿宋_GB2312"/>
          <w:b w:val="0"/>
          <w:bCs w:val="0"/>
          <w:color w:val="000000"/>
          <w:kern w:val="0"/>
          <w:sz w:val="32"/>
          <w:szCs w:val="32"/>
          <w:lang w:val="en-US" w:eastAsia="zh-CN" w:bidi="ar-SA"/>
        </w:rPr>
        <w:t>万元，政府性基金预算支出0万元，国有资本经营预算支出0万元。从评价情况来看，整体支出绩效评价中，2023年整体支出1799.84万元，其中：基本支出1409.4万元，项目支出390.44万元，本单位整体支出绩效自评综合评分97.5分，评价结果等次为优秀。</w:t>
      </w:r>
    </w:p>
    <w:p w14:paraId="1722E0E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组织对一般公共预算项目支出全面开展绩效自评，项目2个，共涉及资金110.94万元，</w:t>
      </w:r>
      <w:r>
        <w:rPr>
          <w:rFonts w:hint="eastAsia" w:ascii="仿宋_GB2312" w:hAnsi="仿宋_GB2312" w:eastAsia="仿宋_GB2312" w:cs="仿宋_GB2312"/>
          <w:b w:val="0"/>
          <w:bCs w:val="0"/>
          <w:color w:val="000000"/>
          <w:kern w:val="0"/>
          <w:sz w:val="32"/>
          <w:szCs w:val="32"/>
          <w:highlight w:val="none"/>
          <w:lang w:val="en-US" w:eastAsia="zh-CN" w:bidi="ar-SA"/>
        </w:rPr>
        <w:t>占一般公共预算项目支出总额的28.4</w:t>
      </w:r>
      <w:bookmarkStart w:id="0" w:name="_GoBack"/>
      <w:bookmarkEnd w:id="0"/>
      <w:r>
        <w:rPr>
          <w:rFonts w:hint="eastAsia" w:ascii="仿宋_GB2312" w:hAnsi="仿宋_GB2312" w:eastAsia="仿宋_GB2312" w:cs="仿宋_GB2312"/>
          <w:b w:val="0"/>
          <w:bCs w:val="0"/>
          <w:color w:val="000000"/>
          <w:kern w:val="0"/>
          <w:sz w:val="32"/>
          <w:szCs w:val="32"/>
          <w:highlight w:val="none"/>
          <w:lang w:val="en-US" w:eastAsia="zh-CN" w:bidi="ar-SA"/>
        </w:rPr>
        <w:t>%</w:t>
      </w:r>
      <w:r>
        <w:rPr>
          <w:rFonts w:hint="eastAsia" w:ascii="仿宋_GB2312" w:hAnsi="仿宋_GB2312" w:eastAsia="仿宋_GB2312" w:cs="仿宋_GB2312"/>
          <w:b w:val="0"/>
          <w:bCs w:val="0"/>
          <w:color w:val="000000"/>
          <w:kern w:val="0"/>
          <w:sz w:val="32"/>
          <w:szCs w:val="32"/>
          <w:lang w:val="en-US" w:eastAsia="zh-CN" w:bidi="ar-SA"/>
        </w:rPr>
        <w:t>。组织对政府性基金预算项目支出开展绩效自评，项目0个，共涉及资金0万元，本单位无政府性基金预算项目支出，未开展项目绩效自评，无项目绩效自评结果。</w:t>
      </w:r>
      <w:r>
        <w:rPr>
          <w:rFonts w:hint="eastAsia" w:ascii="仿宋_GB2312" w:hAnsi="仿宋_GB2312" w:eastAsia="仿宋_GB2312" w:cs="仿宋_GB2312"/>
          <w:b w:val="0"/>
          <w:bCs w:val="0"/>
          <w:color w:val="000000"/>
          <w:kern w:val="0"/>
          <w:sz w:val="32"/>
          <w:szCs w:val="32"/>
          <w:lang w:val="en-US" w:eastAsia="zh-CN" w:bidi="ar-SA"/>
        </w:rPr>
        <w:t>组织对国有资本经营预算项目支出开展绩效自评，项目0个，共涉及资金0万元，本单位无国有资本经营预算项目支出，未开展项目绩效自评，无项目绩效自评结果。从评价情况来看，项目绩效自评得分97分，评价结果等次为优秀。</w:t>
      </w:r>
    </w:p>
    <w:p w14:paraId="4E50DB1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E93B49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95分。全年预算数为1799.84万元，执行数为1799.84万元，完成预算的100%。绩效目标完成情况：一是全年共计安排1799.84万元用于学校各项开支，保障教职员工工资福利待遇，学校维持良好的教育教学秩序；二是保障师生安全，教学质量不断提升，环境不断改善，师生及家长满意。发现的主要问题及原因：一是学校的固定资产管理、班级财产管理还有待加强；二是政府采购方面管理及制度还有待加强。下一步改进措施：一是切实做好预算编制工作，做好本单位情况调查，仔细测算部门资金需求，努力使预算资金合理。；二是进一步建立健全各项规章制度，规范财务管理，规范教育教学行为，加强学校廉政建设。</w:t>
      </w:r>
    </w:p>
    <w:p w14:paraId="4D1BE723">
      <w:pPr>
        <w:pStyle w:val="13"/>
        <w:keepNext w:val="0"/>
        <w:keepLines w:val="0"/>
        <w:pageBreakBefore w:val="0"/>
        <w:widowControl w:val="0"/>
        <w:numPr>
          <w:ilvl w:val="0"/>
          <w:numId w:val="5"/>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存在的问题及原因分析</w:t>
      </w:r>
    </w:p>
    <w:p w14:paraId="42C64A4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1．近年来随着社会的进步，学校办学条件不断改善。学校各项设施不断完善，如师生饮水工程，白板系统的使用，课室大量的风扇、照明的使用，造成水电费、维修费支出大幅增加，学校经费比较紧张。</w:t>
      </w:r>
    </w:p>
    <w:p w14:paraId="6B4B14A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2．学校的固定资产管理、班级财产管理还有待加强。</w:t>
      </w:r>
    </w:p>
    <w:p w14:paraId="46E9487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 政府采购方面管理及制度还有待加强。</w:t>
      </w:r>
    </w:p>
    <w:p w14:paraId="0900E5B2">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36160F5A">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76AAC142">
      <w:pPr>
        <w:pStyle w:val="13"/>
        <w:jc w:val="center"/>
        <w:rPr>
          <w:sz w:val="72"/>
          <w:szCs w:val="72"/>
        </w:rPr>
      </w:pPr>
    </w:p>
    <w:p w14:paraId="2E1AD2B4">
      <w:pPr>
        <w:pStyle w:val="13"/>
        <w:jc w:val="center"/>
        <w:rPr>
          <w:rFonts w:hint="eastAsia" w:ascii="方正小标宋_GBK" w:hAnsi="方正小标宋_GBK" w:eastAsia="方正小标宋_GBK" w:cs="方正小标宋_GBK"/>
          <w:sz w:val="70"/>
          <w:szCs w:val="70"/>
          <w:lang w:eastAsia="zh-CN"/>
        </w:rPr>
      </w:pPr>
    </w:p>
    <w:p w14:paraId="14C42582">
      <w:pPr>
        <w:pStyle w:val="13"/>
        <w:jc w:val="both"/>
        <w:rPr>
          <w:rFonts w:hint="eastAsia" w:ascii="方正小标宋_GBK" w:hAnsi="方正小标宋_GBK" w:eastAsia="方正小标宋_GBK" w:cs="方正小标宋_GBK"/>
          <w:sz w:val="72"/>
          <w:szCs w:val="72"/>
        </w:rPr>
      </w:pPr>
    </w:p>
    <w:p w14:paraId="39CECCCD">
      <w:pPr>
        <w:pStyle w:val="13"/>
        <w:jc w:val="center"/>
        <w:rPr>
          <w:rFonts w:hint="eastAsia" w:ascii="方正小标宋_GBK" w:hAnsi="方正小标宋_GBK" w:eastAsia="方正小标宋_GBK" w:cs="方正小标宋_GBK"/>
          <w:sz w:val="72"/>
          <w:szCs w:val="72"/>
        </w:rPr>
      </w:pPr>
    </w:p>
    <w:p w14:paraId="7FF1A40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253641A">
      <w:pPr>
        <w:jc w:val="center"/>
        <w:rPr>
          <w:rFonts w:hint="eastAsia" w:ascii="方正小标宋_GBK" w:hAnsi="方正小标宋_GBK" w:eastAsia="方正小标宋_GBK" w:cs="方正小标宋_GBK"/>
          <w:color w:val="000000"/>
          <w:kern w:val="0"/>
          <w:sz w:val="70"/>
          <w:szCs w:val="70"/>
        </w:rPr>
      </w:pPr>
    </w:p>
    <w:p w14:paraId="2C96A4B0">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1D3D854D">
      <w:pPr>
        <w:pStyle w:val="8"/>
      </w:pPr>
    </w:p>
    <w:p w14:paraId="7789E43B">
      <w:pPr>
        <w:pStyle w:val="4"/>
      </w:pPr>
    </w:p>
    <w:p w14:paraId="7611392D"/>
    <w:p w14:paraId="57AD5DEA">
      <w:pPr>
        <w:pStyle w:val="8"/>
      </w:pPr>
    </w:p>
    <w:p w14:paraId="77158F91">
      <w:pPr>
        <w:pStyle w:val="4"/>
      </w:pPr>
    </w:p>
    <w:p w14:paraId="24911CAE"/>
    <w:p w14:paraId="384760C7">
      <w:pPr>
        <w:pStyle w:val="8"/>
      </w:pPr>
    </w:p>
    <w:p w14:paraId="0B48770E">
      <w:pPr>
        <w:pStyle w:val="4"/>
      </w:pPr>
    </w:p>
    <w:p w14:paraId="16FF8C2D"/>
    <w:p w14:paraId="28D44663">
      <w:pPr>
        <w:pStyle w:val="8"/>
      </w:pPr>
    </w:p>
    <w:p w14:paraId="2E92BD99">
      <w:pPr>
        <w:pStyle w:val="4"/>
      </w:pPr>
    </w:p>
    <w:p w14:paraId="2C0DA36B"/>
    <w:p w14:paraId="056BCD18">
      <w:pPr>
        <w:pStyle w:val="4"/>
        <w:ind w:left="0" w:leftChars="0" w:firstLine="0" w:firstLineChars="0"/>
      </w:pPr>
    </w:p>
    <w:p w14:paraId="0DC3A194"/>
    <w:p w14:paraId="475A6B68">
      <w:pPr>
        <w:pStyle w:val="8"/>
      </w:pPr>
    </w:p>
    <w:p w14:paraId="50D16CE3">
      <w:pPr>
        <w:ind w:firstLine="640" w:firstLineChars="200"/>
        <w:jc w:val="left"/>
        <w:rPr>
          <w:rFonts w:hint="eastAsia" w:ascii="仿宋_GB2312" w:hAnsi="仿宋_GB2312" w:eastAsia="仿宋_GB2312" w:cs="仿宋_GB2312"/>
          <w:color w:val="000000"/>
          <w:kern w:val="0"/>
          <w:sz w:val="32"/>
          <w:szCs w:val="32"/>
        </w:rPr>
      </w:pPr>
    </w:p>
    <w:p w14:paraId="04B75F39">
      <w:pPr>
        <w:ind w:firstLine="640" w:firstLineChars="200"/>
        <w:jc w:val="left"/>
        <w:rPr>
          <w:rFonts w:hint="eastAsia" w:ascii="仿宋_GB2312" w:hAnsi="仿宋_GB2312" w:eastAsia="仿宋_GB2312" w:cs="仿宋_GB2312"/>
          <w:color w:val="000000"/>
          <w:kern w:val="0"/>
          <w:sz w:val="32"/>
          <w:szCs w:val="32"/>
        </w:rPr>
      </w:pPr>
    </w:p>
    <w:p w14:paraId="44906B3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2CD3B1A">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5142B273">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三、财政拨款收入：指本级财政当年拨付的资金。</w:t>
      </w:r>
    </w:p>
    <w:p w14:paraId="029D87AE">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四、政府性基金：指各级政府及其所属部门根据法律、国家行政法规和中共中央、国务院有关文件的规定，为支持某项事业发展，按照国家规定程序批准，向公民、法人和其他组织征收的具有专项用途的资金。</w:t>
      </w:r>
    </w:p>
    <w:p w14:paraId="11056529">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五、国有资本经营预算：国家以所有者身份对国有资本实行存量调整和增量分配而发生的各项收支预算，是政府预算的重要组成部分。</w:t>
      </w:r>
    </w:p>
    <w:p w14:paraId="0554BE9F">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六、教育支出（类）：是指用于政府教育事务支出，包括保障机构正常运转、完成日常和特定的工作任务或事业发展目标的支出。</w:t>
      </w:r>
    </w:p>
    <w:p w14:paraId="0FEF85E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七、基本支出：指保障机构正常运转、完成支日常工作任务而发生的人员支出和公用支出。</w:t>
      </w:r>
    </w:p>
    <w:p w14:paraId="50790D90">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八、项目支出：指在基本支出之外为完成特定行政任务和事业发展目标所发生的支出。</w:t>
      </w:r>
    </w:p>
    <w:p w14:paraId="68DB303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219995A7">
      <w:pPr>
        <w:ind w:firstLine="640" w:firstLineChars="200"/>
        <w:jc w:val="left"/>
        <w:rPr>
          <w:rFonts w:hint="eastAsia" w:ascii="仿宋_GB2312" w:hAnsi="仿宋_GB2312" w:eastAsia="仿宋_GB2312" w:cs="仿宋_GB2312"/>
          <w:color w:val="000000"/>
          <w:kern w:val="0"/>
          <w:sz w:val="32"/>
          <w:szCs w:val="32"/>
          <w:lang w:eastAsia="zh-CN"/>
        </w:rPr>
      </w:pPr>
    </w:p>
    <w:p w14:paraId="143EF6B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090496DE">
      <w:pPr>
        <w:pStyle w:val="4"/>
      </w:pPr>
    </w:p>
    <w:p w14:paraId="1FBD3B27"/>
    <w:p w14:paraId="3A5949BB">
      <w:pPr>
        <w:pStyle w:val="8"/>
      </w:pPr>
    </w:p>
    <w:p w14:paraId="51E1CF74">
      <w:pPr>
        <w:pStyle w:val="4"/>
      </w:pPr>
    </w:p>
    <w:p w14:paraId="4EA86441"/>
    <w:p w14:paraId="0F8E4656">
      <w:pPr>
        <w:pStyle w:val="8"/>
      </w:pPr>
    </w:p>
    <w:p w14:paraId="209C1E1C">
      <w:pPr>
        <w:pStyle w:val="4"/>
      </w:pPr>
    </w:p>
    <w:p w14:paraId="4FD756AB"/>
    <w:p w14:paraId="1536FEAE">
      <w:pPr>
        <w:pStyle w:val="8"/>
      </w:pPr>
    </w:p>
    <w:p w14:paraId="34F96D8D">
      <w:pPr>
        <w:pStyle w:val="4"/>
      </w:pPr>
    </w:p>
    <w:p w14:paraId="110067A0"/>
    <w:p w14:paraId="4D6C6BBC">
      <w:pPr>
        <w:pStyle w:val="8"/>
      </w:pPr>
    </w:p>
    <w:p w14:paraId="56BB514C">
      <w:pPr>
        <w:pStyle w:val="4"/>
      </w:pPr>
    </w:p>
    <w:p w14:paraId="5B9DBC1D"/>
    <w:p w14:paraId="75505542">
      <w:pPr>
        <w:pStyle w:val="8"/>
      </w:pPr>
    </w:p>
    <w:p w14:paraId="79AD5D04">
      <w:pPr>
        <w:pStyle w:val="4"/>
      </w:pPr>
    </w:p>
    <w:p w14:paraId="2B7498AD">
      <w:pPr>
        <w:pStyle w:val="13"/>
        <w:jc w:val="center"/>
        <w:rPr>
          <w:rFonts w:hint="eastAsia" w:ascii="方正小标宋_GBK" w:hAnsi="方正小标宋_GBK" w:eastAsia="方正小标宋_GBK" w:cs="方正小标宋_GBK"/>
          <w:sz w:val="72"/>
          <w:szCs w:val="72"/>
        </w:rPr>
      </w:pPr>
    </w:p>
    <w:p w14:paraId="29CC611D">
      <w:pPr>
        <w:pStyle w:val="13"/>
        <w:jc w:val="center"/>
        <w:rPr>
          <w:rFonts w:hint="eastAsia" w:ascii="方正小标宋_GBK" w:hAnsi="方正小标宋_GBK" w:eastAsia="方正小标宋_GBK" w:cs="方正小标宋_GBK"/>
          <w:sz w:val="72"/>
          <w:szCs w:val="72"/>
        </w:rPr>
      </w:pPr>
    </w:p>
    <w:p w14:paraId="4E8D0CE6">
      <w:pPr>
        <w:pStyle w:val="13"/>
        <w:jc w:val="center"/>
        <w:rPr>
          <w:rFonts w:hint="eastAsia" w:ascii="方正小标宋_GBK" w:hAnsi="方正小标宋_GBK" w:eastAsia="方正小标宋_GBK" w:cs="方正小标宋_GBK"/>
          <w:sz w:val="72"/>
          <w:szCs w:val="72"/>
        </w:rPr>
      </w:pPr>
    </w:p>
    <w:p w14:paraId="28304D16">
      <w:pPr>
        <w:pStyle w:val="13"/>
        <w:jc w:val="center"/>
        <w:rPr>
          <w:rFonts w:hint="eastAsia" w:ascii="方正小标宋_GBK" w:hAnsi="方正小标宋_GBK" w:eastAsia="方正小标宋_GBK" w:cs="方正小标宋_GBK"/>
          <w:sz w:val="72"/>
          <w:szCs w:val="72"/>
        </w:rPr>
      </w:pPr>
    </w:p>
    <w:p w14:paraId="7F7B835A">
      <w:pPr>
        <w:pStyle w:val="13"/>
        <w:jc w:val="center"/>
        <w:rPr>
          <w:rFonts w:hint="eastAsia" w:ascii="方正小标宋_GBK" w:hAnsi="方正小标宋_GBK" w:eastAsia="方正小标宋_GBK" w:cs="方正小标宋_GBK"/>
          <w:sz w:val="72"/>
          <w:szCs w:val="72"/>
        </w:rPr>
      </w:pPr>
    </w:p>
    <w:p w14:paraId="43877361">
      <w:pPr>
        <w:pStyle w:val="13"/>
        <w:jc w:val="center"/>
        <w:rPr>
          <w:rFonts w:hint="eastAsia" w:ascii="方正小标宋_GBK" w:hAnsi="方正小标宋_GBK" w:eastAsia="方正小标宋_GBK" w:cs="方正小标宋_GBK"/>
          <w:sz w:val="72"/>
          <w:szCs w:val="72"/>
        </w:rPr>
      </w:pPr>
    </w:p>
    <w:p w14:paraId="1AD2AF89">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77B54A1">
      <w:pPr>
        <w:pStyle w:val="13"/>
        <w:jc w:val="both"/>
        <w:rPr>
          <w:rFonts w:hint="eastAsia" w:ascii="方正小标宋_GBK" w:hAnsi="方正小标宋_GBK" w:eastAsia="方正小标宋_GBK" w:cs="方正小标宋_GBK"/>
          <w:sz w:val="70"/>
          <w:szCs w:val="70"/>
          <w:lang w:eastAsia="zh-CN"/>
        </w:rPr>
      </w:pPr>
    </w:p>
    <w:p w14:paraId="28170E89">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9D547BF">
      <w:pPr>
        <w:ind w:firstLine="640" w:firstLineChars="200"/>
        <w:jc w:val="left"/>
        <w:rPr>
          <w:rFonts w:hint="eastAsia" w:ascii="宋体" w:hAnsi="宋体" w:eastAsia="宋体" w:cs="黑体"/>
          <w:b/>
          <w:color w:val="000000"/>
          <w:kern w:val="0"/>
          <w:sz w:val="32"/>
          <w:szCs w:val="32"/>
          <w:lang w:val="en-US" w:eastAsia="zh-CN"/>
        </w:rPr>
      </w:pPr>
    </w:p>
    <w:p w14:paraId="1DB32976">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7B0C91D5">
      <w:pPr>
        <w:ind w:firstLine="640" w:firstLineChars="200"/>
        <w:jc w:val="left"/>
        <w:rPr>
          <w:rFonts w:hint="eastAsia" w:ascii="宋体" w:hAnsi="宋体" w:eastAsia="宋体" w:cs="黑体"/>
          <w:b/>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354CE641">
      <w:pPr>
        <w:ind w:firstLine="640" w:firstLineChars="200"/>
      </w:pPr>
      <w:r>
        <w:rPr>
          <w:rFonts w:hint="eastAsia" w:ascii="宋体" w:hAnsi="宋体" w:eastAsia="宋体" w:cs="黑体"/>
          <w:b/>
          <w:color w:val="000000"/>
          <w:kern w:val="0"/>
          <w:sz w:val="32"/>
          <w:szCs w:val="32"/>
          <w:lang w:val="en-US" w:eastAsia="zh-CN"/>
        </w:rPr>
        <w:t>3、2023年度项目支出绩效自评表</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74155"/>
    <w:multiLevelType w:val="singleLevel"/>
    <w:tmpl w:val="CE374155"/>
    <w:lvl w:ilvl="0" w:tentative="0">
      <w:start w:val="1"/>
      <w:numFmt w:val="decimal"/>
      <w:suff w:val="nothing"/>
      <w:lvlText w:val="%1、"/>
      <w:lvlJc w:val="left"/>
      <w:pPr>
        <w:ind w:left="-10"/>
      </w:pPr>
      <w:rPr>
        <w:rFonts w:hint="default"/>
        <w:color w:val="auto"/>
      </w:rPr>
    </w:lvl>
  </w:abstractNum>
  <w:abstractNum w:abstractNumId="1">
    <w:nsid w:val="293140ED"/>
    <w:multiLevelType w:val="singleLevel"/>
    <w:tmpl w:val="293140ED"/>
    <w:lvl w:ilvl="0" w:tentative="0">
      <w:start w:val="1"/>
      <w:numFmt w:val="chineseCounting"/>
      <w:suff w:val="nothing"/>
      <w:lvlText w:val="（%1）"/>
      <w:lvlJc w:val="left"/>
      <w:rPr>
        <w:rFonts w:hint="eastAsia"/>
      </w:rPr>
    </w:lvl>
  </w:abstractNum>
  <w:abstractNum w:abstractNumId="2">
    <w:nsid w:val="3172E4D9"/>
    <w:multiLevelType w:val="singleLevel"/>
    <w:tmpl w:val="3172E4D9"/>
    <w:lvl w:ilvl="0" w:tentative="0">
      <w:start w:val="3"/>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0A6C5D"/>
    <w:multiLevelType w:val="singleLevel"/>
    <w:tmpl w:val="390A6C5D"/>
    <w:lvl w:ilvl="0" w:tentative="0">
      <w:start w:val="3"/>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OGVkOWVkZTMzM2I4OGIzZmY3Yzg0NDY0ZDk3Nj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23066B"/>
    <w:rsid w:val="059958AD"/>
    <w:rsid w:val="082579E7"/>
    <w:rsid w:val="0FE60984"/>
    <w:rsid w:val="106535E4"/>
    <w:rsid w:val="12583BA5"/>
    <w:rsid w:val="13BA5B9C"/>
    <w:rsid w:val="153276B3"/>
    <w:rsid w:val="159757C2"/>
    <w:rsid w:val="164062A7"/>
    <w:rsid w:val="1895772D"/>
    <w:rsid w:val="1BCB1561"/>
    <w:rsid w:val="1C3A43DB"/>
    <w:rsid w:val="1CF3692D"/>
    <w:rsid w:val="1D97DEFF"/>
    <w:rsid w:val="1DFF72E5"/>
    <w:rsid w:val="1E5722BA"/>
    <w:rsid w:val="1EF6709E"/>
    <w:rsid w:val="1EFC6F07"/>
    <w:rsid w:val="1F107C4F"/>
    <w:rsid w:val="20735512"/>
    <w:rsid w:val="21CE73F6"/>
    <w:rsid w:val="22AC03C2"/>
    <w:rsid w:val="2400762B"/>
    <w:rsid w:val="24231B9E"/>
    <w:rsid w:val="286A466A"/>
    <w:rsid w:val="2B7906AC"/>
    <w:rsid w:val="2BDA3CD8"/>
    <w:rsid w:val="2D7771AC"/>
    <w:rsid w:val="2F324D29"/>
    <w:rsid w:val="2FDF85B8"/>
    <w:rsid w:val="2FFFEE04"/>
    <w:rsid w:val="312C7704"/>
    <w:rsid w:val="31C95635"/>
    <w:rsid w:val="32517AC1"/>
    <w:rsid w:val="32705B5E"/>
    <w:rsid w:val="34362684"/>
    <w:rsid w:val="34DF85B0"/>
    <w:rsid w:val="3B8F36BC"/>
    <w:rsid w:val="3BFF0DDD"/>
    <w:rsid w:val="3C053832"/>
    <w:rsid w:val="3D3402D7"/>
    <w:rsid w:val="3DD03D9F"/>
    <w:rsid w:val="3F461C89"/>
    <w:rsid w:val="412414ED"/>
    <w:rsid w:val="44C47537"/>
    <w:rsid w:val="453D75E9"/>
    <w:rsid w:val="4603646C"/>
    <w:rsid w:val="46666174"/>
    <w:rsid w:val="48BC4DD5"/>
    <w:rsid w:val="491FF225"/>
    <w:rsid w:val="49292B50"/>
    <w:rsid w:val="493E459E"/>
    <w:rsid w:val="4FFD214C"/>
    <w:rsid w:val="50E700C7"/>
    <w:rsid w:val="51286E64"/>
    <w:rsid w:val="5352765A"/>
    <w:rsid w:val="541159E0"/>
    <w:rsid w:val="55B36D5A"/>
    <w:rsid w:val="5777D4F5"/>
    <w:rsid w:val="59DD8326"/>
    <w:rsid w:val="5DEF592A"/>
    <w:rsid w:val="5E6F4974"/>
    <w:rsid w:val="5F5F5C0A"/>
    <w:rsid w:val="5FC6BB1E"/>
    <w:rsid w:val="5FF720F1"/>
    <w:rsid w:val="60471822"/>
    <w:rsid w:val="642778E9"/>
    <w:rsid w:val="655316CD"/>
    <w:rsid w:val="67FF5C0B"/>
    <w:rsid w:val="68065DD6"/>
    <w:rsid w:val="690D2BB4"/>
    <w:rsid w:val="697D0373"/>
    <w:rsid w:val="69862461"/>
    <w:rsid w:val="69A855C0"/>
    <w:rsid w:val="6BAA4A2F"/>
    <w:rsid w:val="6D233C99"/>
    <w:rsid w:val="6EAC4123"/>
    <w:rsid w:val="6EFC0924"/>
    <w:rsid w:val="6FB74722"/>
    <w:rsid w:val="6FEF8B7E"/>
    <w:rsid w:val="70020425"/>
    <w:rsid w:val="704356DF"/>
    <w:rsid w:val="70BE6E24"/>
    <w:rsid w:val="71A62A11"/>
    <w:rsid w:val="71A6591B"/>
    <w:rsid w:val="71FA1FF3"/>
    <w:rsid w:val="737D59BA"/>
    <w:rsid w:val="737F32B1"/>
    <w:rsid w:val="7671430C"/>
    <w:rsid w:val="768B0256"/>
    <w:rsid w:val="77C37683"/>
    <w:rsid w:val="78DA0238"/>
    <w:rsid w:val="79FF515B"/>
    <w:rsid w:val="7C72760A"/>
    <w:rsid w:val="7E797519"/>
    <w:rsid w:val="7E9E1962"/>
    <w:rsid w:val="7E9F11B4"/>
    <w:rsid w:val="7F37EC1E"/>
    <w:rsid w:val="7F7DCD9D"/>
    <w:rsid w:val="7F970A6F"/>
    <w:rsid w:val="7FC1FFF3"/>
    <w:rsid w:val="7FC69637"/>
    <w:rsid w:val="7FCA3B05"/>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9859</Words>
  <Characters>10552</Characters>
  <Lines>63</Lines>
  <Paragraphs>18</Paragraphs>
  <TotalTime>0</TotalTime>
  <ScaleCrop>false</ScaleCrop>
  <LinksUpToDate>false</LinksUpToDate>
  <CharactersWithSpaces>10617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2025-07-29T03:12:32Z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E517B5E27576458F9943A2C4E8193B3B_13</vt:lpwstr>
  </property>
</Properties>
</file>