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67C6E">
      <w:pPr>
        <w:pStyle w:val="12"/>
        <w:jc w:val="center"/>
        <w:rPr>
          <w:sz w:val="56"/>
          <w:szCs w:val="56"/>
        </w:rPr>
      </w:pPr>
    </w:p>
    <w:p w14:paraId="135846A3">
      <w:pPr>
        <w:pStyle w:val="12"/>
        <w:jc w:val="center"/>
        <w:rPr>
          <w:sz w:val="56"/>
          <w:szCs w:val="56"/>
        </w:rPr>
      </w:pPr>
    </w:p>
    <w:p w14:paraId="78B7D941">
      <w:pPr>
        <w:pStyle w:val="12"/>
        <w:jc w:val="center"/>
        <w:rPr>
          <w:sz w:val="84"/>
          <w:szCs w:val="84"/>
        </w:rPr>
      </w:pPr>
    </w:p>
    <w:p w14:paraId="3FB5F92E">
      <w:pPr>
        <w:pStyle w:val="12"/>
        <w:jc w:val="center"/>
        <w:rPr>
          <w:sz w:val="84"/>
          <w:szCs w:val="84"/>
        </w:rPr>
      </w:pPr>
    </w:p>
    <w:p w14:paraId="0185793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59A9291">
      <w:pPr>
        <w:pStyle w:val="12"/>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岳阳市教育事务中心</w:t>
      </w:r>
    </w:p>
    <w:p w14:paraId="52E3638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F7D3C6B">
      <w:pPr>
        <w:pStyle w:val="12"/>
        <w:jc w:val="center"/>
        <w:rPr>
          <w:rFonts w:hint="eastAsia" w:ascii="方正小标宋_GBK" w:hAnsi="方正小标宋_GBK" w:eastAsia="方正小标宋_GBK" w:cs="方正小标宋_GBK"/>
          <w:sz w:val="56"/>
          <w:szCs w:val="56"/>
        </w:rPr>
      </w:pPr>
    </w:p>
    <w:p w14:paraId="3FDDD04A">
      <w:pPr>
        <w:pStyle w:val="12"/>
        <w:jc w:val="center"/>
        <w:rPr>
          <w:sz w:val="56"/>
          <w:szCs w:val="56"/>
        </w:rPr>
      </w:pPr>
    </w:p>
    <w:p w14:paraId="5467CBC1">
      <w:pPr>
        <w:pStyle w:val="12"/>
        <w:jc w:val="center"/>
        <w:rPr>
          <w:sz w:val="56"/>
          <w:szCs w:val="56"/>
        </w:rPr>
      </w:pPr>
    </w:p>
    <w:p w14:paraId="293342F5">
      <w:pPr>
        <w:pStyle w:val="12"/>
        <w:jc w:val="center"/>
        <w:rPr>
          <w:sz w:val="56"/>
          <w:szCs w:val="56"/>
        </w:rPr>
      </w:pPr>
    </w:p>
    <w:p w14:paraId="3A43AFE1">
      <w:pPr>
        <w:pStyle w:val="12"/>
        <w:jc w:val="center"/>
        <w:rPr>
          <w:sz w:val="32"/>
          <w:szCs w:val="32"/>
        </w:rPr>
      </w:pPr>
    </w:p>
    <w:p w14:paraId="13C5443D">
      <w:pPr>
        <w:pStyle w:val="12"/>
        <w:jc w:val="center"/>
        <w:rPr>
          <w:sz w:val="32"/>
          <w:szCs w:val="32"/>
        </w:rPr>
      </w:pPr>
    </w:p>
    <w:p w14:paraId="251039A1">
      <w:pPr>
        <w:pStyle w:val="12"/>
        <w:jc w:val="center"/>
        <w:rPr>
          <w:sz w:val="32"/>
          <w:szCs w:val="32"/>
        </w:rPr>
      </w:pPr>
    </w:p>
    <w:p w14:paraId="670A6D48">
      <w:pPr>
        <w:pStyle w:val="12"/>
        <w:jc w:val="center"/>
        <w:rPr>
          <w:sz w:val="32"/>
          <w:szCs w:val="32"/>
        </w:rPr>
      </w:pPr>
    </w:p>
    <w:p w14:paraId="005F9750">
      <w:pPr>
        <w:pStyle w:val="12"/>
        <w:jc w:val="center"/>
        <w:rPr>
          <w:sz w:val="32"/>
          <w:szCs w:val="32"/>
        </w:rPr>
      </w:pPr>
    </w:p>
    <w:p w14:paraId="156721E5">
      <w:pPr>
        <w:pStyle w:val="12"/>
        <w:spacing w:line="540" w:lineRule="exact"/>
        <w:jc w:val="center"/>
        <w:rPr>
          <w:sz w:val="56"/>
          <w:szCs w:val="56"/>
        </w:rPr>
      </w:pPr>
    </w:p>
    <w:p w14:paraId="31170CA7">
      <w:pPr>
        <w:pStyle w:val="12"/>
        <w:spacing w:line="500" w:lineRule="exact"/>
        <w:jc w:val="both"/>
        <w:rPr>
          <w:b/>
          <w:sz w:val="36"/>
          <w:szCs w:val="28"/>
        </w:rPr>
      </w:pPr>
    </w:p>
    <w:p w14:paraId="5FDE029D">
      <w:pPr>
        <w:pStyle w:val="12"/>
        <w:spacing w:line="500" w:lineRule="exact"/>
        <w:jc w:val="center"/>
        <w:rPr>
          <w:b/>
          <w:sz w:val="36"/>
          <w:szCs w:val="28"/>
        </w:rPr>
      </w:pPr>
      <w:r>
        <w:rPr>
          <w:rFonts w:hint="eastAsia"/>
          <w:b/>
          <w:sz w:val="36"/>
          <w:szCs w:val="28"/>
        </w:rPr>
        <w:t>目录</w:t>
      </w:r>
    </w:p>
    <w:p w14:paraId="3410134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岳阳市教育事务中心</w:t>
      </w:r>
      <w:r>
        <w:rPr>
          <w:rFonts w:hint="eastAsia" w:ascii="黑体" w:hAnsi="黑体" w:eastAsia="黑体" w:cs="黑体"/>
          <w:b w:val="0"/>
          <w:bCs/>
          <w:sz w:val="28"/>
          <w:szCs w:val="28"/>
        </w:rPr>
        <w:t>概况</w:t>
      </w:r>
    </w:p>
    <w:p w14:paraId="1A623A3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1D040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257D24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3D4BFA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E7BAAE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0E3518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804125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E1BCC4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E78320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2D5C3D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45A024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E6E101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6CCF21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9F6B93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E87018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75539C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E02296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AD393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206B4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6359F1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158971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38B19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03ECB8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4996D8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753B1C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F273A8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433A26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0621EF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197ECCD">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0B9EFC1">
      <w:pPr>
        <w:pStyle w:val="12"/>
        <w:jc w:val="center"/>
        <w:rPr>
          <w:rFonts w:hint="eastAsia" w:ascii="方正小标宋_GBK" w:hAnsi="方正小标宋_GBK" w:eastAsia="方正小标宋_GBK" w:cs="方正小标宋_GBK"/>
          <w:sz w:val="84"/>
          <w:szCs w:val="84"/>
        </w:rPr>
      </w:pPr>
    </w:p>
    <w:p w14:paraId="5D33B3C0">
      <w:pPr>
        <w:pStyle w:val="12"/>
        <w:jc w:val="center"/>
        <w:rPr>
          <w:rFonts w:hint="eastAsia" w:ascii="方正小标宋_GBK" w:hAnsi="方正小标宋_GBK" w:eastAsia="方正小标宋_GBK" w:cs="方正小标宋_GBK"/>
          <w:sz w:val="84"/>
          <w:szCs w:val="84"/>
        </w:rPr>
      </w:pPr>
    </w:p>
    <w:p w14:paraId="289473B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652A3B6">
      <w:pPr>
        <w:pStyle w:val="12"/>
        <w:jc w:val="center"/>
        <w:rPr>
          <w:rFonts w:hint="eastAsia" w:ascii="方正小标宋_GBK" w:hAnsi="方正小标宋_GBK" w:eastAsia="方正小标宋_GBK" w:cs="方正小标宋_GBK"/>
          <w:sz w:val="84"/>
          <w:szCs w:val="84"/>
        </w:rPr>
      </w:pPr>
    </w:p>
    <w:p w14:paraId="00FF11F2">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岳阳市教育事务中心概况</w:t>
      </w:r>
    </w:p>
    <w:p w14:paraId="3FBD0A92">
      <w:pPr>
        <w:pStyle w:val="7"/>
        <w:rPr>
          <w:rFonts w:hint="eastAsia" w:ascii="方正小标宋_GBK" w:hAnsi="方正小标宋_GBK" w:eastAsia="方正小标宋_GBK" w:cs="方正小标宋_GBK"/>
          <w:sz w:val="84"/>
          <w:szCs w:val="84"/>
        </w:rPr>
      </w:pPr>
    </w:p>
    <w:p w14:paraId="29E73450">
      <w:pPr>
        <w:pStyle w:val="3"/>
        <w:rPr>
          <w:rFonts w:hint="eastAsia" w:ascii="方正小标宋_GBK" w:hAnsi="方正小标宋_GBK" w:eastAsia="方正小标宋_GBK" w:cs="方正小标宋_GBK"/>
          <w:sz w:val="84"/>
          <w:szCs w:val="84"/>
        </w:rPr>
      </w:pPr>
    </w:p>
    <w:p w14:paraId="79699878">
      <w:pPr>
        <w:rPr>
          <w:rFonts w:hint="eastAsia" w:ascii="方正小标宋_GBK" w:hAnsi="方正小标宋_GBK" w:eastAsia="方正小标宋_GBK" w:cs="方正小标宋_GBK"/>
          <w:sz w:val="84"/>
          <w:szCs w:val="84"/>
        </w:rPr>
      </w:pPr>
    </w:p>
    <w:p w14:paraId="5F216F1E">
      <w:pPr>
        <w:pStyle w:val="7"/>
        <w:rPr>
          <w:rFonts w:hint="eastAsia" w:ascii="方正小标宋_GBK" w:hAnsi="方正小标宋_GBK" w:eastAsia="方正小标宋_GBK" w:cs="方正小标宋_GBK"/>
          <w:sz w:val="84"/>
          <w:szCs w:val="84"/>
        </w:rPr>
      </w:pPr>
    </w:p>
    <w:p w14:paraId="0549C652">
      <w:pPr>
        <w:pStyle w:val="3"/>
        <w:rPr>
          <w:rFonts w:hint="eastAsia" w:ascii="方正小标宋_GBK" w:hAnsi="方正小标宋_GBK" w:eastAsia="方正小标宋_GBK" w:cs="方正小标宋_GBK"/>
          <w:sz w:val="84"/>
          <w:szCs w:val="84"/>
        </w:rPr>
      </w:pPr>
    </w:p>
    <w:p w14:paraId="4E40788E">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50362E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lang w:val="en-US" w:eastAsia="zh-CN"/>
        </w:rPr>
        <w:t>负责为市直教育体育单位基本建设提供相关保障。负责制定市直教育体育单位教育投资管理的规章制度，编报基建及维修计划和项目管理；负责基建及维修项目的预、决算；负责市直教育单位投资、融资、债务管理和非经营性国有资产管理的事务性工作；负责市直教育体育单位经营性国有资产监管的行政辅助工作。</w:t>
      </w:r>
    </w:p>
    <w:p w14:paraId="40680C1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为家庭经济困难的中小学生完成学业提供相关服务。负责发动组织接受社会各界对中小学校和中小学生的救助和捐赠；协同有关部门统筹安排省、市财政确定的中小学助学金两免一补经费以及对其使用情况进行监督检查的行政辅助工作。</w:t>
      </w:r>
    </w:p>
    <w:p w14:paraId="2D45F0C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288200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岳阳市教育事务</w:t>
      </w:r>
      <w:r>
        <w:rPr>
          <w:rFonts w:hint="eastAsia" w:ascii="仿宋_GB2312" w:hAnsi="仿宋_GB2312" w:eastAsia="仿宋_GB2312" w:cs="仿宋_GB2312"/>
          <w:bCs/>
          <w:kern w:val="0"/>
          <w:sz w:val="32"/>
          <w:szCs w:val="32"/>
        </w:rPr>
        <w:t>中心单位内设机构包括：综合部、资产管理部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学生资助管理部。</w:t>
      </w:r>
    </w:p>
    <w:p w14:paraId="25DDA981">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本单位无独立核算的下属单位，2023年度部门决算汇总公开单位仅包括岳阳市教育事务中心本级。</w:t>
      </w:r>
    </w:p>
    <w:p w14:paraId="3DFD0836">
      <w:pPr>
        <w:pStyle w:val="3"/>
        <w:ind w:left="0" w:leftChars="0" w:firstLine="0" w:firstLineChars="0"/>
      </w:pPr>
    </w:p>
    <w:p w14:paraId="4431D24D">
      <w:pPr>
        <w:pStyle w:val="3"/>
      </w:pPr>
    </w:p>
    <w:p w14:paraId="3FAD3202"/>
    <w:p w14:paraId="614EC745">
      <w:pPr>
        <w:pStyle w:val="7"/>
      </w:pPr>
    </w:p>
    <w:p w14:paraId="41EE4487">
      <w:pPr>
        <w:pStyle w:val="3"/>
      </w:pPr>
    </w:p>
    <w:p w14:paraId="1BFD9441"/>
    <w:p w14:paraId="5188802A">
      <w:pPr>
        <w:pStyle w:val="12"/>
        <w:jc w:val="center"/>
        <w:rPr>
          <w:rFonts w:hint="eastAsia" w:ascii="方正小标宋_GBK" w:hAnsi="方正小标宋_GBK" w:eastAsia="方正小标宋_GBK" w:cs="方正小标宋_GBK"/>
          <w:sz w:val="84"/>
          <w:szCs w:val="84"/>
        </w:rPr>
      </w:pPr>
    </w:p>
    <w:p w14:paraId="56F58C74">
      <w:pPr>
        <w:pStyle w:val="12"/>
        <w:jc w:val="center"/>
        <w:rPr>
          <w:rFonts w:hint="eastAsia" w:ascii="方正小标宋_GBK" w:hAnsi="方正小标宋_GBK" w:eastAsia="方正小标宋_GBK" w:cs="方正小标宋_GBK"/>
          <w:sz w:val="84"/>
          <w:szCs w:val="84"/>
        </w:rPr>
      </w:pPr>
    </w:p>
    <w:p w14:paraId="2EE11CF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B338828">
      <w:pPr>
        <w:pStyle w:val="12"/>
        <w:jc w:val="center"/>
        <w:rPr>
          <w:rFonts w:hint="eastAsia" w:ascii="方正小标宋_GBK" w:hAnsi="方正小标宋_GBK" w:eastAsia="方正小标宋_GBK" w:cs="方正小标宋_GBK"/>
          <w:sz w:val="84"/>
          <w:szCs w:val="84"/>
        </w:rPr>
      </w:pPr>
    </w:p>
    <w:p w14:paraId="6B7E894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A50A482">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55A0E78">
      <w:pPr>
        <w:pStyle w:val="12"/>
        <w:jc w:val="center"/>
        <w:rPr>
          <w:rFonts w:hint="eastAsia" w:ascii="仿宋_GB2312" w:hAnsi="仿宋_GB2312" w:eastAsia="仿宋_GB2312" w:cs="仿宋_GB2312"/>
          <w:b w:val="0"/>
          <w:bCs w:val="0"/>
          <w:sz w:val="72"/>
          <w:szCs w:val="72"/>
          <w:lang w:eastAsia="zh-CN"/>
        </w:rPr>
      </w:pPr>
    </w:p>
    <w:p w14:paraId="578D4D4B">
      <w:pPr>
        <w:pStyle w:val="12"/>
        <w:jc w:val="center"/>
        <w:rPr>
          <w:rFonts w:hint="eastAsia" w:ascii="仿宋_GB2312" w:hAnsi="仿宋_GB2312" w:eastAsia="仿宋_GB2312" w:cs="仿宋_GB2312"/>
          <w:b w:val="0"/>
          <w:bCs w:val="0"/>
          <w:sz w:val="72"/>
          <w:szCs w:val="72"/>
          <w:lang w:eastAsia="zh-CN"/>
        </w:rPr>
      </w:pPr>
    </w:p>
    <w:p w14:paraId="340AD824">
      <w:pPr>
        <w:pStyle w:val="12"/>
        <w:jc w:val="center"/>
        <w:rPr>
          <w:rFonts w:hint="eastAsia" w:ascii="仿宋_GB2312" w:hAnsi="仿宋_GB2312" w:eastAsia="仿宋_GB2312" w:cs="仿宋_GB2312"/>
          <w:b w:val="0"/>
          <w:bCs w:val="0"/>
          <w:sz w:val="72"/>
          <w:szCs w:val="72"/>
          <w:lang w:eastAsia="zh-CN"/>
        </w:rPr>
      </w:pPr>
    </w:p>
    <w:p w14:paraId="660F8EBC">
      <w:pPr>
        <w:pStyle w:val="12"/>
        <w:jc w:val="center"/>
        <w:rPr>
          <w:rFonts w:hint="eastAsia" w:ascii="仿宋_GB2312" w:hAnsi="仿宋_GB2312" w:eastAsia="仿宋_GB2312" w:cs="仿宋_GB2312"/>
          <w:b w:val="0"/>
          <w:bCs w:val="0"/>
          <w:sz w:val="72"/>
          <w:szCs w:val="72"/>
          <w:lang w:eastAsia="zh-CN"/>
        </w:rPr>
      </w:pPr>
    </w:p>
    <w:p w14:paraId="4DEED400">
      <w:pPr>
        <w:pStyle w:val="12"/>
        <w:jc w:val="center"/>
        <w:rPr>
          <w:rFonts w:hint="eastAsia" w:ascii="仿宋_GB2312" w:hAnsi="仿宋_GB2312" w:eastAsia="仿宋_GB2312" w:cs="仿宋_GB2312"/>
          <w:b w:val="0"/>
          <w:bCs w:val="0"/>
          <w:sz w:val="72"/>
          <w:szCs w:val="72"/>
          <w:lang w:eastAsia="zh-CN"/>
        </w:rPr>
      </w:pPr>
    </w:p>
    <w:p w14:paraId="7DC5E88C">
      <w:pPr>
        <w:pStyle w:val="12"/>
        <w:jc w:val="center"/>
        <w:rPr>
          <w:rFonts w:hint="eastAsia" w:ascii="仿宋_GB2312" w:hAnsi="仿宋_GB2312" w:eastAsia="仿宋_GB2312" w:cs="仿宋_GB2312"/>
          <w:b w:val="0"/>
          <w:bCs w:val="0"/>
          <w:sz w:val="72"/>
          <w:szCs w:val="72"/>
          <w:lang w:eastAsia="zh-CN"/>
        </w:rPr>
      </w:pPr>
    </w:p>
    <w:p w14:paraId="2DDDACD4">
      <w:pPr>
        <w:pStyle w:val="12"/>
        <w:jc w:val="center"/>
        <w:rPr>
          <w:rFonts w:hint="eastAsia" w:ascii="仿宋_GB2312" w:hAnsi="仿宋_GB2312" w:eastAsia="仿宋_GB2312" w:cs="仿宋_GB2312"/>
          <w:b w:val="0"/>
          <w:bCs w:val="0"/>
          <w:sz w:val="72"/>
          <w:szCs w:val="72"/>
          <w:lang w:eastAsia="zh-CN"/>
        </w:rPr>
      </w:pPr>
    </w:p>
    <w:p w14:paraId="23D1FA6B">
      <w:pPr>
        <w:pStyle w:val="12"/>
        <w:jc w:val="center"/>
        <w:rPr>
          <w:rFonts w:hint="eastAsia" w:ascii="方正小标宋_GBK" w:hAnsi="方正小标宋_GBK" w:eastAsia="方正小标宋_GBK" w:cs="方正小标宋_GBK"/>
          <w:sz w:val="72"/>
          <w:szCs w:val="72"/>
        </w:rPr>
      </w:pPr>
    </w:p>
    <w:p w14:paraId="01132F94">
      <w:pPr>
        <w:pStyle w:val="12"/>
        <w:jc w:val="center"/>
        <w:rPr>
          <w:rFonts w:hint="eastAsia" w:ascii="方正小标宋_GBK" w:hAnsi="方正小标宋_GBK" w:eastAsia="方正小标宋_GBK" w:cs="方正小标宋_GBK"/>
          <w:sz w:val="72"/>
          <w:szCs w:val="72"/>
        </w:rPr>
      </w:pPr>
    </w:p>
    <w:p w14:paraId="01C119A2">
      <w:pPr>
        <w:pStyle w:val="12"/>
        <w:jc w:val="both"/>
        <w:rPr>
          <w:rFonts w:hint="eastAsia" w:ascii="方正小标宋_GBK" w:hAnsi="方正小标宋_GBK" w:eastAsia="方正小标宋_GBK" w:cs="方正小标宋_GBK"/>
          <w:sz w:val="72"/>
          <w:szCs w:val="72"/>
        </w:rPr>
      </w:pPr>
    </w:p>
    <w:p w14:paraId="05B5129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D7A254A">
      <w:pPr>
        <w:pStyle w:val="12"/>
        <w:jc w:val="center"/>
        <w:rPr>
          <w:rFonts w:hint="eastAsia" w:ascii="方正小标宋_GBK" w:hAnsi="方正小标宋_GBK" w:eastAsia="方正小标宋_GBK" w:cs="方正小标宋_GBK"/>
          <w:sz w:val="70"/>
          <w:szCs w:val="70"/>
        </w:rPr>
      </w:pPr>
    </w:p>
    <w:p w14:paraId="276793F3">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3730AEE">
      <w:pPr>
        <w:pStyle w:val="12"/>
        <w:jc w:val="center"/>
        <w:rPr>
          <w:rFonts w:hint="eastAsia" w:ascii="方正小标宋_GBK" w:hAnsi="方正小标宋_GBK" w:eastAsia="方正小标宋_GBK" w:cs="方正小标宋_GBK"/>
          <w:sz w:val="70"/>
          <w:szCs w:val="70"/>
        </w:rPr>
      </w:pPr>
    </w:p>
    <w:p w14:paraId="65BC5609">
      <w:pPr>
        <w:pStyle w:val="12"/>
        <w:jc w:val="center"/>
        <w:rPr>
          <w:rFonts w:hint="eastAsia" w:ascii="方正小标宋_GBK" w:hAnsi="方正小标宋_GBK" w:eastAsia="方正小标宋_GBK" w:cs="方正小标宋_GBK"/>
          <w:sz w:val="70"/>
          <w:szCs w:val="70"/>
        </w:rPr>
      </w:pPr>
    </w:p>
    <w:p w14:paraId="66C79802">
      <w:pPr>
        <w:pStyle w:val="12"/>
        <w:jc w:val="center"/>
        <w:rPr>
          <w:rFonts w:hint="eastAsia" w:ascii="方正小标宋_GBK" w:hAnsi="方正小标宋_GBK" w:eastAsia="方正小标宋_GBK" w:cs="方正小标宋_GBK"/>
          <w:sz w:val="70"/>
          <w:szCs w:val="70"/>
        </w:rPr>
      </w:pPr>
    </w:p>
    <w:p w14:paraId="4E84B2DE">
      <w:pPr>
        <w:pStyle w:val="12"/>
        <w:jc w:val="center"/>
        <w:rPr>
          <w:rFonts w:hint="eastAsia" w:ascii="方正小标宋_GBK" w:hAnsi="方正小标宋_GBK" w:eastAsia="方正小标宋_GBK" w:cs="方正小标宋_GBK"/>
          <w:sz w:val="70"/>
          <w:szCs w:val="70"/>
        </w:rPr>
      </w:pPr>
    </w:p>
    <w:p w14:paraId="45A5A5CF">
      <w:pPr>
        <w:pStyle w:val="12"/>
        <w:jc w:val="center"/>
        <w:rPr>
          <w:rFonts w:hint="eastAsia" w:ascii="方正小标宋_GBK" w:hAnsi="方正小标宋_GBK" w:eastAsia="方正小标宋_GBK" w:cs="方正小标宋_GBK"/>
          <w:sz w:val="70"/>
          <w:szCs w:val="70"/>
        </w:rPr>
      </w:pPr>
    </w:p>
    <w:p w14:paraId="4D21F3CB">
      <w:pPr>
        <w:pStyle w:val="12"/>
        <w:jc w:val="center"/>
        <w:rPr>
          <w:rFonts w:hint="eastAsia" w:ascii="方正小标宋_GBK" w:hAnsi="方正小标宋_GBK" w:eastAsia="方正小标宋_GBK" w:cs="方正小标宋_GBK"/>
          <w:sz w:val="70"/>
          <w:szCs w:val="70"/>
        </w:rPr>
      </w:pPr>
    </w:p>
    <w:p w14:paraId="3C30F437">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3215F1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C65AD1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年度收、支总计8759.9万元。与上年相比，增加5837.34万元，增长</w:t>
      </w:r>
      <w:r>
        <w:rPr>
          <w:rFonts w:hint="eastAsia" w:ascii="仿宋_GB2312" w:hAnsi="仿宋_GB2312" w:eastAsia="仿宋_GB2312" w:cs="仿宋_GB2312"/>
          <w:sz w:val="32"/>
          <w:szCs w:val="32"/>
          <w:lang w:val="en-US" w:eastAsia="zh-CN"/>
        </w:rPr>
        <w:t>199.73</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0ABA59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0DBF3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年度收入合计8759.9万元，其中：财政拨款收入8627.73万元，占</w:t>
      </w:r>
      <w:r>
        <w:rPr>
          <w:rFonts w:hint="eastAsia" w:ascii="仿宋_GB2312" w:hAnsi="仿宋_GB2312" w:eastAsia="仿宋_GB2312" w:cs="仿宋_GB2312"/>
          <w:sz w:val="32"/>
          <w:szCs w:val="32"/>
          <w:lang w:val="en-US" w:eastAsia="zh-CN"/>
        </w:rPr>
        <w:t>98.49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%；其他收入132.17万元，占</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w:t>
      </w:r>
    </w:p>
    <w:p w14:paraId="6CBE2D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6C56F9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年度支出合计8759.9万元，其中：基本支出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%；项目支出8759.9万元，占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AC98E5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E1B22F2">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年度财政拨款收、支总计8627.73万元，与上年相比，增加</w:t>
      </w:r>
      <w:r>
        <w:rPr>
          <w:rFonts w:hint="eastAsia" w:ascii="仿宋_GB2312" w:hAnsi="仿宋_GB2312" w:eastAsia="仿宋_GB2312" w:cs="仿宋_GB2312"/>
          <w:sz w:val="32"/>
          <w:szCs w:val="32"/>
          <w:lang w:val="en-US" w:eastAsia="zh-CN"/>
        </w:rPr>
        <w:t>6808.56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374.27</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1C9B0F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BEE25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3BC5DF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年度财政拨款支出8627.73万元，占本年支出合计的</w:t>
      </w:r>
      <w:r>
        <w:rPr>
          <w:rFonts w:hint="eastAsia" w:ascii="仿宋_GB2312" w:hAnsi="仿宋_GB2312" w:eastAsia="仿宋_GB2312" w:cs="仿宋_GB2312"/>
          <w:sz w:val="32"/>
          <w:szCs w:val="32"/>
          <w:lang w:val="en-US" w:eastAsia="zh-CN"/>
        </w:rPr>
        <w:t>98.49</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6808.56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374.27</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4612DF9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DEA34A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年度财政拨款支出8627.73万元，主要用于以下方面：一般公共服务（类）支出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%；教育（类）支出8627.73万元，占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62E4B7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19DA46D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9211.37</w:t>
      </w:r>
      <w:r>
        <w:rPr>
          <w:rFonts w:hint="eastAsia" w:ascii="仿宋_GB2312" w:hAnsi="仿宋_GB2312" w:eastAsia="仿宋_GB2312" w:cs="仿宋_GB2312"/>
          <w:sz w:val="32"/>
          <w:szCs w:val="32"/>
        </w:rPr>
        <w:t>万元，支出决算数为8627.73万元，完成年初预算的</w:t>
      </w:r>
      <w:r>
        <w:rPr>
          <w:rFonts w:hint="eastAsia" w:ascii="仿宋_GB2312" w:hAnsi="仿宋_GB2312" w:eastAsia="仿宋_GB2312" w:cs="仿宋_GB2312"/>
          <w:sz w:val="32"/>
          <w:szCs w:val="32"/>
          <w:lang w:val="en-US" w:eastAsia="zh-CN"/>
        </w:rPr>
        <w:t>93.66</w:t>
      </w:r>
      <w:r>
        <w:rPr>
          <w:rFonts w:hint="eastAsia" w:ascii="仿宋_GB2312" w:hAnsi="仿宋_GB2312" w:eastAsia="仿宋_GB2312" w:cs="仿宋_GB2312"/>
          <w:sz w:val="32"/>
          <w:szCs w:val="32"/>
        </w:rPr>
        <w:t>%，其中：</w:t>
      </w:r>
    </w:p>
    <w:p w14:paraId="7A38AF7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1、教育支出（类）普通教育（款）高中教育（项）。</w:t>
      </w:r>
    </w:p>
    <w:p w14:paraId="5CC32BB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461.89</w:t>
      </w:r>
      <w:r>
        <w:rPr>
          <w:rFonts w:hint="eastAsia" w:ascii="仿宋_GB2312" w:hAnsi="仿宋_GB2312" w:eastAsia="仿宋_GB2312" w:cs="仿宋_GB2312"/>
          <w:sz w:val="32"/>
          <w:szCs w:val="32"/>
        </w:rPr>
        <w:t>万元，支出决算为335.24万元，完成年初预算的</w:t>
      </w:r>
      <w:r>
        <w:rPr>
          <w:rFonts w:hint="eastAsia" w:ascii="仿宋_GB2312" w:hAnsi="仿宋_GB2312" w:eastAsia="仿宋_GB2312" w:cs="仿宋_GB2312"/>
          <w:sz w:val="32"/>
          <w:szCs w:val="32"/>
          <w:lang w:val="en-US" w:eastAsia="zh-CN"/>
        </w:rPr>
        <w:t>72.58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0692B2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2、教育支出（类）普通教育（款） 其他普通教育支出（项）。</w:t>
      </w:r>
    </w:p>
    <w:p w14:paraId="528F776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677.75</w:t>
      </w:r>
      <w:r>
        <w:rPr>
          <w:rFonts w:hint="eastAsia" w:ascii="仿宋_GB2312" w:hAnsi="仿宋_GB2312" w:eastAsia="仿宋_GB2312" w:cs="仿宋_GB2312"/>
          <w:sz w:val="32"/>
          <w:szCs w:val="32"/>
        </w:rPr>
        <w:t>万元，支出决算为646.75万元，完成年初预算的</w:t>
      </w:r>
      <w:r>
        <w:rPr>
          <w:rFonts w:hint="eastAsia" w:ascii="仿宋_GB2312" w:hAnsi="仿宋_GB2312" w:eastAsia="仿宋_GB2312" w:cs="仿宋_GB2312"/>
          <w:sz w:val="32"/>
          <w:szCs w:val="32"/>
          <w:lang w:val="en-US" w:eastAsia="zh-CN"/>
        </w:rPr>
        <w:t>95.43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8775B67">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教育支出（类）职业教育（款） 中等职业教育（项）。</w:t>
      </w:r>
    </w:p>
    <w:p w14:paraId="3E5DF6B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3920.24</w:t>
      </w:r>
      <w:r>
        <w:rPr>
          <w:rFonts w:hint="eastAsia" w:ascii="仿宋_GB2312" w:hAnsi="仿宋_GB2312" w:eastAsia="仿宋_GB2312" w:cs="仿宋_GB2312"/>
          <w:sz w:val="32"/>
          <w:szCs w:val="32"/>
        </w:rPr>
        <w:t>万元，支出决算为3554.12万元，完成年初预算的</w:t>
      </w:r>
      <w:r>
        <w:rPr>
          <w:rFonts w:hint="eastAsia" w:ascii="仿宋_GB2312" w:hAnsi="仿宋_GB2312" w:eastAsia="仿宋_GB2312" w:cs="仿宋_GB2312"/>
          <w:sz w:val="32"/>
          <w:szCs w:val="32"/>
          <w:lang w:val="en-US" w:eastAsia="zh-CN"/>
        </w:rPr>
        <w:t>90.66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1463BAAB">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教育支出（类）教育费附加安排的支出（款）其他教育费附加安排的支出（项）。</w:t>
      </w:r>
    </w:p>
    <w:p w14:paraId="467FAE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年初预算为37</w:t>
      </w:r>
      <w:r>
        <w:rPr>
          <w:rFonts w:hint="eastAsia" w:ascii="仿宋_GB2312" w:hAnsi="仿宋_GB2312" w:eastAsia="仿宋_GB2312" w:cs="仿宋_GB2312"/>
          <w:sz w:val="32"/>
          <w:szCs w:val="32"/>
          <w:lang w:val="en-US" w:eastAsia="zh-CN"/>
        </w:rPr>
        <w:t>80.70</w:t>
      </w:r>
      <w:r>
        <w:rPr>
          <w:rFonts w:hint="eastAsia" w:ascii="仿宋_GB2312" w:hAnsi="仿宋_GB2312" w:eastAsia="仿宋_GB2312" w:cs="仿宋_GB2312"/>
          <w:sz w:val="32"/>
          <w:szCs w:val="32"/>
        </w:rPr>
        <w:t>万元，支出决算为3730.56万元，完成年初预算的</w:t>
      </w:r>
      <w:r>
        <w:rPr>
          <w:rFonts w:hint="eastAsia" w:ascii="仿宋_GB2312" w:hAnsi="仿宋_GB2312" w:eastAsia="仿宋_GB2312" w:cs="仿宋_GB2312"/>
          <w:sz w:val="32"/>
          <w:szCs w:val="32"/>
          <w:lang w:val="en-US" w:eastAsia="zh-CN"/>
        </w:rPr>
        <w:t>98.67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0A85E17E">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教育支出（类）其他教育支出（款）其他教育支出（项）。</w:t>
      </w:r>
    </w:p>
    <w:p w14:paraId="22F71183">
      <w:pPr>
        <w:pStyle w:val="12"/>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370.79</w:t>
      </w:r>
      <w:r>
        <w:rPr>
          <w:rFonts w:hint="eastAsia" w:ascii="仿宋_GB2312" w:hAnsi="仿宋_GB2312" w:eastAsia="仿宋_GB2312" w:cs="仿宋_GB2312"/>
          <w:sz w:val="32"/>
          <w:szCs w:val="32"/>
        </w:rPr>
        <w:t>万元，支出决算为361.06万元，完成年初预算的</w:t>
      </w:r>
      <w:r>
        <w:rPr>
          <w:rFonts w:hint="eastAsia" w:ascii="仿宋_GB2312" w:hAnsi="仿宋_GB2312" w:eastAsia="仿宋_GB2312" w:cs="仿宋_GB2312"/>
          <w:sz w:val="32"/>
          <w:szCs w:val="32"/>
          <w:lang w:val="en-US" w:eastAsia="zh-CN"/>
        </w:rPr>
        <w:t>97.38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6253AD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14:paraId="55DD93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82EA3D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4453452A">
      <w:pPr>
        <w:pStyle w:val="12"/>
        <w:spacing w:line="60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比重</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因本单位的人员经费在市教体局机关列支，</w:t>
      </w:r>
      <w:r>
        <w:rPr>
          <w:rFonts w:hint="eastAsia" w:ascii="Times New Roman" w:hAnsi="Times New Roman" w:eastAsia="仿宋_GB2312"/>
          <w:sz w:val="32"/>
          <w:szCs w:val="32"/>
          <w:lang w:val="en-US" w:eastAsia="zh-CN"/>
        </w:rPr>
        <w:t>无此类支出。</w:t>
      </w:r>
    </w:p>
    <w:p w14:paraId="6F4C35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w:t>
      </w:r>
      <w:r>
        <w:rPr>
          <w:rFonts w:hint="eastAsia" w:ascii="仿宋_GB2312" w:hAnsi="仿宋_GB2312" w:eastAsia="仿宋_GB2312" w:cs="仿宋_GB2312"/>
          <w:sz w:val="32"/>
          <w:szCs w:val="32"/>
        </w:rPr>
        <w:t>占基本支出的</w:t>
      </w:r>
      <w:r>
        <w:rPr>
          <w:rFonts w:hint="eastAsia" w:ascii="仿宋_GB2312" w:hAnsi="仿宋_GB2312" w:eastAsia="仿宋_GB2312" w:cs="仿宋_GB2312"/>
          <w:sz w:val="32"/>
          <w:szCs w:val="32"/>
          <w:lang w:val="en-US" w:eastAsia="zh-CN"/>
        </w:rPr>
        <w:t>比重</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因本单位的人员经费在市教体局机关列支，</w:t>
      </w:r>
      <w:r>
        <w:rPr>
          <w:rFonts w:hint="eastAsia" w:ascii="Times New Roman" w:hAnsi="Times New Roman" w:eastAsia="仿宋_GB2312"/>
          <w:sz w:val="32"/>
          <w:szCs w:val="32"/>
          <w:lang w:val="en-US" w:eastAsia="zh-CN"/>
        </w:rPr>
        <w:t>无此类支出。</w:t>
      </w:r>
    </w:p>
    <w:p w14:paraId="63D2EC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i/>
          <w:color w:val="FF0000"/>
          <w:kern w:val="0"/>
          <w:sz w:val="32"/>
          <w:szCs w:val="32"/>
          <w:lang w:val="en-US" w:eastAsia="zh-CN" w:bidi="ar-SA"/>
        </w:rPr>
        <w:t>、</w:t>
      </w:r>
      <w:r>
        <w:rPr>
          <w:rFonts w:hint="eastAsia" w:ascii="黑体" w:hAnsi="黑体" w:eastAsia="黑体" w:cs="黑体"/>
          <w:b w:val="0"/>
          <w:bCs/>
          <w:sz w:val="32"/>
          <w:szCs w:val="32"/>
        </w:rPr>
        <w:t>七、政府性基金预算收入支出决算情况</w:t>
      </w:r>
    </w:p>
    <w:p w14:paraId="6074760F">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163280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3C7F07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217A72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D8C69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498DB9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14:paraId="45366BF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1D5AC7B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14:paraId="4840E7C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r>
        <w:rPr>
          <w:rFonts w:hint="eastAsia" w:ascii="仿宋_GB2312" w:hAnsi="仿宋_GB2312" w:eastAsia="仿宋_GB2312" w:cs="仿宋_GB2312"/>
          <w:b w:val="0"/>
          <w:bCs/>
          <w:color w:val="FF0000"/>
          <w:kern w:val="0"/>
          <w:sz w:val="32"/>
          <w:szCs w:val="32"/>
          <w:lang w:val="en-US" w:eastAsia="zh-CN" w:bidi="ar-SA"/>
        </w:rPr>
        <w:t xml:space="preserve"> </w:t>
      </w:r>
    </w:p>
    <w:p w14:paraId="7FE5F55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公务用车运行维护费支出预算为0万元，支出决算为0万元，决算数等于预算数，主要原因是我单位严格按预算执行决算；与上年一致，无增减变动，主要原因是两年均无公务用车需要运行维护。</w:t>
      </w:r>
    </w:p>
    <w:p w14:paraId="75FA382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756134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14:paraId="1FA32D3D">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14:paraId="2C160456">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14:paraId="75E2E99D">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14:paraId="1833D9D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0268691D">
      <w:pPr>
        <w:pStyle w:val="12"/>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本单位为事业单位，按照机关运行经费的口径，本年度机关运行经费为0。</w:t>
      </w:r>
    </w:p>
    <w:p w14:paraId="0ABEFC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0E1F54B">
      <w:pPr>
        <w:pStyle w:val="12"/>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本单位无会议费的预算和支出决算数；本单位无培训费的预算和支出决算数；本单位无举办节庆、晚会、论坛、赛事等活动的预算和支出决算数</w:t>
      </w:r>
      <w:r>
        <w:rPr>
          <w:rFonts w:hint="eastAsia" w:ascii="Times New Roman" w:hAnsi="Times New Roman" w:eastAsia="仿宋_GB2312"/>
          <w:sz w:val="32"/>
          <w:szCs w:val="32"/>
          <w:lang w:eastAsia="zh-CN"/>
        </w:rPr>
        <w:t>。</w:t>
      </w:r>
    </w:p>
    <w:p w14:paraId="732C3F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F68AB1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年度政府采购支出总额3137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万元，其中：政府采购货物支出68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91万元、政府采购工程支出2941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万元、政府采购服务支出127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52万元。授予中小企业合同金额</w:t>
      </w:r>
      <w:r>
        <w:rPr>
          <w:rFonts w:hint="eastAsia" w:ascii="仿宋_GB2312" w:hAnsi="仿宋_GB2312" w:eastAsia="仿宋_GB2312" w:cs="仿宋_GB2312"/>
          <w:sz w:val="32"/>
          <w:szCs w:val="32"/>
          <w:lang w:val="en-US" w:eastAsia="zh-CN"/>
        </w:rPr>
        <w:t>196.43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196.43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361A7F5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E21C10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14:paraId="2342A70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7D864D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7C99A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B52D8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8627.73</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w:t>
      </w:r>
      <w:r>
        <w:rPr>
          <w:rFonts w:hint="eastAsia" w:ascii="仿宋_GB2312" w:hAnsi="仿宋_GB2312" w:eastAsia="仿宋_GB2312" w:cs="仿宋_GB2312"/>
          <w:sz w:val="32"/>
          <w:szCs w:val="32"/>
        </w:rPr>
        <w:t>8759.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val="0"/>
          <w:bCs w:val="0"/>
          <w:color w:val="000000"/>
          <w:kern w:val="0"/>
          <w:sz w:val="32"/>
          <w:szCs w:val="32"/>
          <w:lang w:val="en-US" w:eastAsia="zh-CN" w:bidi="ar-SA"/>
        </w:rPr>
        <w:t>万元，其中：基本支出0万元，项目支出</w:t>
      </w:r>
      <w:r>
        <w:rPr>
          <w:rFonts w:hint="eastAsia" w:ascii="仿宋_GB2312" w:hAnsi="仿宋_GB2312" w:eastAsia="仿宋_GB2312" w:cs="仿宋_GB2312"/>
          <w:sz w:val="32"/>
          <w:szCs w:val="32"/>
        </w:rPr>
        <w:t>8759.9</w:t>
      </w:r>
      <w:r>
        <w:rPr>
          <w:rFonts w:hint="eastAsia" w:ascii="仿宋_GB2312" w:hAnsi="仿宋_GB2312" w:eastAsia="仿宋_GB2312" w:cs="仿宋_GB2312"/>
          <w:b w:val="0"/>
          <w:bCs w:val="0"/>
          <w:color w:val="000000"/>
          <w:kern w:val="0"/>
          <w:sz w:val="32"/>
          <w:szCs w:val="32"/>
          <w:lang w:val="en-US" w:eastAsia="zh-CN" w:bidi="ar-SA"/>
        </w:rPr>
        <w:t>万元，本单位整体支出绩效自评综合评</w:t>
      </w:r>
      <w:r>
        <w:rPr>
          <w:rFonts w:hint="eastAsia" w:ascii="仿宋_GB2312" w:hAnsi="仿宋_GB2312" w:eastAsia="仿宋_GB2312" w:cs="仿宋_GB2312"/>
          <w:sz w:val="32"/>
          <w:szCs w:val="32"/>
          <w:lang w:val="en-US" w:eastAsia="zh-CN"/>
        </w:rPr>
        <w:t>分97.75分</w:t>
      </w:r>
      <w:r>
        <w:rPr>
          <w:rFonts w:hint="eastAsia" w:ascii="仿宋_GB2312" w:hAnsi="仿宋_GB2312" w:eastAsia="仿宋_GB2312" w:cs="仿宋_GB2312"/>
          <w:b w:val="0"/>
          <w:bCs w:val="0"/>
          <w:color w:val="000000"/>
          <w:kern w:val="0"/>
          <w:sz w:val="32"/>
          <w:szCs w:val="32"/>
          <w:lang w:val="en-US" w:eastAsia="zh-CN" w:bidi="ar-SA"/>
        </w:rPr>
        <w:t>，评价结果等次为良好。</w:t>
      </w:r>
    </w:p>
    <w:p w14:paraId="35E586C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组织对一般公共预算项目支出全面开展绩效自评，项目11个，共涉及资金</w:t>
      </w:r>
      <w:r>
        <w:rPr>
          <w:rFonts w:hint="eastAsia" w:ascii="仿宋_GB2312" w:hAnsi="仿宋_GB2312" w:eastAsia="仿宋_GB2312" w:cs="仿宋_GB2312"/>
          <w:b w:val="0"/>
          <w:bCs/>
          <w:sz w:val="32"/>
          <w:szCs w:val="32"/>
          <w:highlight w:val="none"/>
          <w:lang w:val="en-US" w:eastAsia="zh-CN"/>
        </w:rPr>
        <w:t>8627.73</w:t>
      </w:r>
      <w:r>
        <w:rPr>
          <w:rFonts w:hint="eastAsia" w:ascii="仿宋_GB2312" w:hAnsi="仿宋_GB2312" w:eastAsia="仿宋_GB2312" w:cs="仿宋_GB2312"/>
          <w:b w:val="0"/>
          <w:bCs w:val="0"/>
          <w:color w:val="000000"/>
          <w:kern w:val="0"/>
          <w:sz w:val="32"/>
          <w:szCs w:val="32"/>
          <w:lang w:val="en-US" w:eastAsia="zh-CN" w:bidi="ar-SA"/>
        </w:rPr>
        <w:t>万元，占一般公共预算项目支出总额的100%。组织对政府性基金预算项目支出开展绩效自评，项目0个，共涉及资金0万元，</w:t>
      </w:r>
      <w:r>
        <w:rPr>
          <w:rFonts w:hint="eastAsia" w:ascii="仿宋_GB2312" w:hAnsi="仿宋_GB2312" w:eastAsia="仿宋_GB2312" w:cs="仿宋_GB2312"/>
          <w:sz w:val="32"/>
          <w:szCs w:val="32"/>
          <w:lang w:val="en-US" w:eastAsia="zh-CN"/>
        </w:rPr>
        <w:t>无法计算</w:t>
      </w:r>
      <w:r>
        <w:rPr>
          <w:rFonts w:hint="eastAsia" w:ascii="仿宋_GB2312" w:hAnsi="仿宋_GB2312" w:eastAsia="仿宋_GB2312" w:cs="仿宋_GB2312"/>
          <w:sz w:val="32"/>
          <w:szCs w:val="32"/>
        </w:rPr>
        <w:t>占</w:t>
      </w:r>
      <w:r>
        <w:rPr>
          <w:rFonts w:hint="eastAsia" w:ascii="仿宋_GB2312" w:hAnsi="仿宋_GB2312" w:eastAsia="仿宋_GB2312" w:cs="仿宋_GB2312"/>
          <w:b w:val="0"/>
          <w:bCs w:val="0"/>
          <w:color w:val="000000"/>
          <w:kern w:val="0"/>
          <w:sz w:val="32"/>
          <w:szCs w:val="32"/>
          <w:lang w:val="en-US" w:eastAsia="zh-CN" w:bidi="ar-SA"/>
        </w:rPr>
        <w:t>政府性基金预算项目支出总额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比重</w:t>
      </w:r>
      <w:r>
        <w:rPr>
          <w:rFonts w:hint="eastAsia" w:ascii="仿宋_GB2312" w:hAnsi="仿宋_GB2312" w:eastAsia="仿宋_GB2312" w:cs="仿宋_GB2312"/>
          <w:b w:val="0"/>
          <w:bCs w:val="0"/>
          <w:color w:val="000000"/>
          <w:kern w:val="0"/>
          <w:sz w:val="32"/>
          <w:szCs w:val="32"/>
          <w:lang w:val="en-US" w:eastAsia="zh-CN" w:bidi="ar-SA"/>
        </w:rPr>
        <w:t>。组织对国有资本经营预算项目支出开展绩效自评，项目0个，共涉及资金0万元，</w:t>
      </w:r>
      <w:r>
        <w:rPr>
          <w:rFonts w:hint="eastAsia" w:ascii="仿宋_GB2312" w:hAnsi="仿宋_GB2312" w:eastAsia="仿宋_GB2312" w:cs="仿宋_GB2312"/>
          <w:sz w:val="32"/>
          <w:szCs w:val="32"/>
          <w:lang w:val="en-US" w:eastAsia="zh-CN"/>
        </w:rPr>
        <w:t>无法计算</w:t>
      </w:r>
      <w:r>
        <w:rPr>
          <w:rFonts w:hint="eastAsia" w:ascii="仿宋_GB2312" w:hAnsi="仿宋_GB2312" w:eastAsia="仿宋_GB2312" w:cs="仿宋_GB2312"/>
          <w:sz w:val="32"/>
          <w:szCs w:val="32"/>
        </w:rPr>
        <w:t>占</w:t>
      </w:r>
      <w:r>
        <w:rPr>
          <w:rFonts w:hint="eastAsia" w:ascii="仿宋_GB2312" w:hAnsi="仿宋_GB2312" w:eastAsia="仿宋_GB2312" w:cs="仿宋_GB2312"/>
          <w:b w:val="0"/>
          <w:bCs w:val="0"/>
          <w:color w:val="000000"/>
          <w:kern w:val="0"/>
          <w:sz w:val="32"/>
          <w:szCs w:val="32"/>
          <w:lang w:val="en-US" w:eastAsia="zh-CN" w:bidi="ar-SA"/>
        </w:rPr>
        <w:t>国有资本经营预算项目支出总额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比重</w:t>
      </w:r>
      <w:r>
        <w:rPr>
          <w:rFonts w:hint="eastAsia" w:ascii="仿宋_GB2312" w:hAnsi="仿宋_GB2312" w:eastAsia="仿宋_GB2312" w:cs="仿宋_GB2312"/>
          <w:b w:val="0"/>
          <w:bCs w:val="0"/>
          <w:color w:val="000000"/>
          <w:kern w:val="0"/>
          <w:sz w:val="32"/>
          <w:szCs w:val="32"/>
          <w:lang w:val="en-US" w:eastAsia="zh-CN" w:bidi="ar-SA"/>
        </w:rPr>
        <w:t>。从评价情况来看，项目绩效自评得分</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b w:val="0"/>
          <w:bCs w:val="0"/>
          <w:color w:val="000000"/>
          <w:kern w:val="0"/>
          <w:sz w:val="32"/>
          <w:szCs w:val="32"/>
          <w:lang w:val="en-US" w:eastAsia="zh-CN" w:bidi="ar-SA"/>
        </w:rPr>
        <w:t>分，评价结果等次为良好。</w:t>
      </w:r>
      <w:bookmarkStart w:id="0" w:name="_GoBack"/>
      <w:bookmarkEnd w:id="0"/>
    </w:p>
    <w:p w14:paraId="093B2A8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单位</w:t>
      </w:r>
      <w:r>
        <w:rPr>
          <w:rFonts w:hint="eastAsia" w:ascii="楷体" w:hAnsi="楷体" w:eastAsia="楷体" w:cs="楷体"/>
          <w:b/>
          <w:bCs/>
          <w:sz w:val="32"/>
          <w:szCs w:val="32"/>
        </w:rPr>
        <w:t>整体支出绩效情况</w:t>
      </w:r>
    </w:p>
    <w:p w14:paraId="77AB74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b w:val="0"/>
          <w:bCs w:val="0"/>
          <w:color w:val="000000"/>
          <w:kern w:val="0"/>
          <w:sz w:val="32"/>
          <w:szCs w:val="32"/>
          <w:lang w:val="en-US" w:eastAsia="zh-CN" w:bidi="ar-SA"/>
        </w:rPr>
        <w:t>分。全年预算数9343.54万元，执行数为</w:t>
      </w:r>
      <w:r>
        <w:rPr>
          <w:rFonts w:hint="eastAsia" w:ascii="仿宋_GB2312" w:hAnsi="仿宋_GB2312" w:eastAsia="仿宋_GB2312" w:cs="仿宋_GB2312"/>
          <w:b w:val="0"/>
          <w:bCs/>
          <w:sz w:val="32"/>
          <w:szCs w:val="32"/>
          <w:highlight w:val="none"/>
          <w:lang w:val="en-US" w:eastAsia="zh-CN"/>
        </w:rPr>
        <w:t>8759.89</w:t>
      </w:r>
      <w:r>
        <w:rPr>
          <w:rFonts w:hint="eastAsia" w:ascii="仿宋_GB2312" w:hAnsi="仿宋_GB2312" w:eastAsia="仿宋_GB2312" w:cs="仿宋_GB2312"/>
          <w:b w:val="0"/>
          <w:bCs w:val="0"/>
          <w:color w:val="000000"/>
          <w:kern w:val="0"/>
          <w:sz w:val="32"/>
          <w:szCs w:val="32"/>
          <w:lang w:val="en-US" w:eastAsia="zh-CN" w:bidi="ar-SA"/>
        </w:rPr>
        <w:t>万元，完成预算的93.75%。绩效目标完成情况：一是</w:t>
      </w:r>
      <w:r>
        <w:rPr>
          <w:rFonts w:hint="eastAsia" w:ascii="仿宋_GB2312" w:hAnsi="仿宋_GB2312" w:eastAsia="仿宋_GB2312" w:cs="仿宋_GB2312"/>
          <w:i w:val="0"/>
          <w:iCs w:val="0"/>
          <w:caps w:val="0"/>
          <w:color w:val="auto"/>
          <w:spacing w:val="0"/>
          <w:sz w:val="32"/>
          <w:szCs w:val="32"/>
          <w:shd w:val="clear" w:fill="FDFDFE"/>
        </w:rPr>
        <w:t>基础设施改造项目</w:t>
      </w:r>
      <w:r>
        <w:rPr>
          <w:rFonts w:hint="eastAsia" w:ascii="仿宋_GB2312" w:hAnsi="仿宋_GB2312" w:eastAsia="仿宋_GB2312" w:cs="仿宋_GB2312"/>
          <w:i w:val="0"/>
          <w:iCs w:val="0"/>
          <w:caps w:val="0"/>
          <w:color w:val="auto"/>
          <w:spacing w:val="0"/>
          <w:sz w:val="32"/>
          <w:szCs w:val="32"/>
          <w:shd w:val="clear" w:fill="FDFDFE"/>
          <w:lang w:val="en-US" w:eastAsia="zh-CN"/>
        </w:rPr>
        <w:t>和</w:t>
      </w:r>
      <w:r>
        <w:rPr>
          <w:rFonts w:hint="eastAsia" w:ascii="仿宋_GB2312" w:hAnsi="仿宋_GB2312" w:eastAsia="仿宋_GB2312" w:cs="仿宋_GB2312"/>
          <w:i w:val="0"/>
          <w:iCs w:val="0"/>
          <w:caps w:val="0"/>
          <w:color w:val="auto"/>
          <w:spacing w:val="0"/>
          <w:sz w:val="32"/>
          <w:szCs w:val="32"/>
          <w:shd w:val="clear" w:fill="FDFDFE"/>
        </w:rPr>
        <w:t>校园环境改造建设</w:t>
      </w:r>
      <w:r>
        <w:rPr>
          <w:rFonts w:hint="eastAsia" w:ascii="仿宋_GB2312" w:hAnsi="仿宋_GB2312" w:eastAsia="仿宋_GB2312" w:cs="仿宋_GB2312"/>
          <w:i w:val="0"/>
          <w:iCs w:val="0"/>
          <w:caps w:val="0"/>
          <w:color w:val="auto"/>
          <w:spacing w:val="0"/>
          <w:sz w:val="32"/>
          <w:szCs w:val="32"/>
          <w:shd w:val="clear" w:fill="FDFDFE"/>
          <w:lang w:val="en-US" w:eastAsia="zh-CN"/>
        </w:rPr>
        <w:t>等</w:t>
      </w:r>
      <w:r>
        <w:rPr>
          <w:rFonts w:hint="eastAsia" w:ascii="仿宋_GB2312" w:hAnsi="仿宋_GB2312" w:eastAsia="仿宋_GB2312" w:cs="仿宋_GB2312"/>
          <w:i w:val="0"/>
          <w:iCs w:val="0"/>
          <w:caps w:val="0"/>
          <w:color w:val="auto"/>
          <w:spacing w:val="0"/>
          <w:sz w:val="32"/>
          <w:szCs w:val="32"/>
          <w:shd w:val="clear" w:fill="FDFDFE"/>
        </w:rPr>
        <w:t>项目</w:t>
      </w:r>
      <w:r>
        <w:rPr>
          <w:rFonts w:hint="eastAsia" w:ascii="仿宋_GB2312" w:hAnsi="仿宋_GB2312" w:eastAsia="仿宋_GB2312" w:cs="仿宋_GB2312"/>
          <w:color w:val="auto"/>
          <w:kern w:val="2"/>
          <w:sz w:val="32"/>
          <w:szCs w:val="32"/>
          <w:lang w:val="en-US" w:eastAsia="zh-CN" w:bidi="ar-SA"/>
        </w:rPr>
        <w:t>有效提升学校整体教育教学和办学条件水平</w:t>
      </w:r>
      <w:r>
        <w:rPr>
          <w:rFonts w:hint="eastAsia" w:ascii="仿宋_GB2312" w:hAnsi="仿宋_GB2312" w:eastAsia="仿宋_GB2312" w:cs="仿宋_GB2312"/>
          <w:b w:val="0"/>
          <w:bCs w:val="0"/>
          <w:color w:val="000000"/>
          <w:kern w:val="0"/>
          <w:sz w:val="32"/>
          <w:szCs w:val="32"/>
          <w:lang w:val="en-US" w:eastAsia="zh-CN" w:bidi="ar-SA"/>
        </w:rPr>
        <w:t>；二是按时足额发放高中学生资助资金和中职学生资助资金，有效缓解了家庭经济困难学生的就学压力，保障了他们的受教育权利。发现的主要问题及原因：一是</w:t>
      </w:r>
      <w:r>
        <w:rPr>
          <w:rFonts w:hint="eastAsia" w:ascii="仿宋_GB2312" w:hAnsi="仿宋_GB2312" w:eastAsia="仿宋_GB2312" w:cs="仿宋_GB2312"/>
          <w:color w:val="auto"/>
          <w:kern w:val="2"/>
          <w:sz w:val="32"/>
          <w:szCs w:val="32"/>
          <w:lang w:val="en-US" w:eastAsia="zh-CN" w:bidi="ar-SA"/>
        </w:rPr>
        <w:t>绩效目标设置科学性有待提高。由于部分绩效指标设置不够全面，绩效指标设置的科学性、准确性有待提升</w:t>
      </w:r>
      <w:r>
        <w:rPr>
          <w:rFonts w:hint="eastAsia" w:ascii="仿宋_GB2312" w:hAnsi="仿宋_GB2312" w:eastAsia="仿宋_GB2312" w:cs="仿宋_GB2312"/>
          <w:b w:val="0"/>
          <w:bCs w:val="0"/>
          <w:color w:val="000000"/>
          <w:kern w:val="0"/>
          <w:sz w:val="32"/>
          <w:szCs w:val="32"/>
          <w:lang w:val="en-US" w:eastAsia="zh-CN" w:bidi="ar-SA"/>
        </w:rPr>
        <w:t>；二是在预算支出执行过程中部分项目由于种种原因未能达到预期的绩效目标。下一步改进措施：一是提高预算编制精度。加强与项目执行部门的沟通，深入了解项目实际需求和成本，提高预算编制的精准性；二是完善预算绩效管理机制。明确绩效目标，建立科学、可量化的考核指标体系，确保预算支出与绩效目标紧密挂钩；三是加强预算执行监控。定期对预算执行情况进行评估和分析，及时发现问题并采取措施进行调整；四是强化绩效导向。加强绩效导向的管理理念，将绩效目标作为工作的核心驱动力，推动各项工作的顺利开展。</w:t>
      </w:r>
    </w:p>
    <w:p w14:paraId="7B5F61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367E26C">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预算支出执行过程中，部分项目由于种种原因未能达到预期的绩效目标，如市一中校园文化及环境改造建设项目尚未完工，偏差原因在于食堂拆除重建及科教楼建设项目进度滞后，工期延后，后续我中心将持续跟进项目，监督进度。</w:t>
      </w:r>
    </w:p>
    <w:p w14:paraId="0FCBCA31">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工作中还存在着不足，财政资金的使用方面，我们需要严格把关，坚持专款专用，杜绝一切违规现象。我中心将加强内部管理，完善各项制度，提高工作人员的专业素质，确保预算支出的合理使用和绩效目标的顺利实现。</w:t>
      </w:r>
    </w:p>
    <w:p w14:paraId="0D203F0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320F8E1">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p>
    <w:p w14:paraId="779B82DF">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02EBC39E">
      <w:pPr>
        <w:pStyle w:val="12"/>
        <w:jc w:val="both"/>
        <w:rPr>
          <w:sz w:val="72"/>
          <w:szCs w:val="72"/>
        </w:rPr>
      </w:pPr>
    </w:p>
    <w:p w14:paraId="5DCDF354">
      <w:pPr>
        <w:pStyle w:val="12"/>
        <w:jc w:val="center"/>
        <w:rPr>
          <w:sz w:val="72"/>
          <w:szCs w:val="72"/>
        </w:rPr>
      </w:pPr>
    </w:p>
    <w:p w14:paraId="5FAADD3E">
      <w:pPr>
        <w:pStyle w:val="12"/>
        <w:jc w:val="both"/>
        <w:rPr>
          <w:rFonts w:hint="eastAsia" w:ascii="方正小标宋_GBK" w:hAnsi="方正小标宋_GBK" w:eastAsia="方正小标宋_GBK" w:cs="方正小标宋_GBK"/>
          <w:sz w:val="70"/>
          <w:szCs w:val="70"/>
          <w:lang w:eastAsia="zh-CN"/>
        </w:rPr>
      </w:pPr>
    </w:p>
    <w:p w14:paraId="72C9E36C">
      <w:pPr>
        <w:pStyle w:val="12"/>
        <w:jc w:val="center"/>
        <w:rPr>
          <w:rFonts w:hint="eastAsia" w:ascii="方正小标宋_GBK" w:hAnsi="方正小标宋_GBK" w:eastAsia="方正小标宋_GBK" w:cs="方正小标宋_GBK"/>
          <w:sz w:val="72"/>
          <w:szCs w:val="72"/>
        </w:rPr>
      </w:pPr>
    </w:p>
    <w:p w14:paraId="72482CDE">
      <w:pPr>
        <w:pStyle w:val="12"/>
        <w:jc w:val="center"/>
        <w:rPr>
          <w:rFonts w:hint="eastAsia" w:ascii="方正小标宋_GBK" w:hAnsi="方正小标宋_GBK" w:eastAsia="方正小标宋_GBK" w:cs="方正小标宋_GBK"/>
          <w:sz w:val="72"/>
          <w:szCs w:val="72"/>
        </w:rPr>
      </w:pPr>
    </w:p>
    <w:p w14:paraId="4805206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BC90AF9">
      <w:pPr>
        <w:jc w:val="center"/>
        <w:rPr>
          <w:rFonts w:hint="eastAsia" w:ascii="方正小标宋_GBK" w:hAnsi="方正小标宋_GBK" w:eastAsia="方正小标宋_GBK" w:cs="方正小标宋_GBK"/>
          <w:color w:val="000000"/>
          <w:kern w:val="0"/>
          <w:sz w:val="70"/>
          <w:szCs w:val="70"/>
        </w:rPr>
      </w:pPr>
    </w:p>
    <w:p w14:paraId="69452C1E">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67137D65">
      <w:pPr>
        <w:pStyle w:val="7"/>
      </w:pPr>
    </w:p>
    <w:p w14:paraId="02FED373">
      <w:pPr>
        <w:pStyle w:val="3"/>
      </w:pPr>
    </w:p>
    <w:p w14:paraId="4BE1ED25"/>
    <w:p w14:paraId="333056C5">
      <w:pPr>
        <w:pStyle w:val="7"/>
      </w:pPr>
    </w:p>
    <w:p w14:paraId="02A7D634">
      <w:pPr>
        <w:pStyle w:val="3"/>
      </w:pPr>
    </w:p>
    <w:p w14:paraId="2E5C7260"/>
    <w:p w14:paraId="6E8268CF">
      <w:pPr>
        <w:pStyle w:val="7"/>
      </w:pPr>
    </w:p>
    <w:p w14:paraId="417D135A">
      <w:pPr>
        <w:pStyle w:val="3"/>
      </w:pPr>
    </w:p>
    <w:p w14:paraId="52F1C624"/>
    <w:p w14:paraId="2B02EF10">
      <w:pPr>
        <w:pStyle w:val="7"/>
      </w:pPr>
    </w:p>
    <w:p w14:paraId="644BF25A">
      <w:pPr>
        <w:pStyle w:val="3"/>
      </w:pPr>
    </w:p>
    <w:p w14:paraId="5AC7E71C"/>
    <w:p w14:paraId="193C5D54">
      <w:pPr>
        <w:pStyle w:val="7"/>
      </w:pPr>
    </w:p>
    <w:p w14:paraId="07AF7E10">
      <w:pPr>
        <w:pStyle w:val="3"/>
      </w:pPr>
    </w:p>
    <w:p w14:paraId="3AA5C1A1"/>
    <w:p w14:paraId="7A230D9E">
      <w:pPr>
        <w:pStyle w:val="7"/>
      </w:pPr>
    </w:p>
    <w:p w14:paraId="64E38010">
      <w:pPr>
        <w:pStyle w:val="3"/>
      </w:pPr>
    </w:p>
    <w:p w14:paraId="403FF2E2"/>
    <w:p w14:paraId="734CF726">
      <w:pPr>
        <w:pStyle w:val="7"/>
      </w:pPr>
    </w:p>
    <w:p w14:paraId="6F1EA0A3">
      <w:pPr>
        <w:pStyle w:val="3"/>
      </w:pPr>
    </w:p>
    <w:p w14:paraId="7BF83F4D"/>
    <w:p w14:paraId="2C64DE96">
      <w:pPr>
        <w:pStyle w:val="7"/>
      </w:pPr>
    </w:p>
    <w:p w14:paraId="593D09F0">
      <w:pPr>
        <w:pStyle w:val="3"/>
      </w:pPr>
    </w:p>
    <w:p w14:paraId="19792AF1"/>
    <w:p w14:paraId="69E81876">
      <w:pPr>
        <w:pStyle w:val="7"/>
      </w:pPr>
    </w:p>
    <w:p w14:paraId="55D950B2">
      <w:pPr>
        <w:pStyle w:val="3"/>
      </w:pPr>
    </w:p>
    <w:p w14:paraId="288623A3"/>
    <w:p w14:paraId="7CCF7918">
      <w:pPr>
        <w:pStyle w:val="7"/>
      </w:pPr>
    </w:p>
    <w:p w14:paraId="60F6E593">
      <w:pPr>
        <w:pStyle w:val="3"/>
      </w:pPr>
    </w:p>
    <w:p w14:paraId="46933AB2"/>
    <w:p w14:paraId="72B13B93">
      <w:pPr>
        <w:pStyle w:val="7"/>
      </w:pPr>
    </w:p>
    <w:p w14:paraId="1452A725">
      <w:pPr>
        <w:pStyle w:val="3"/>
      </w:pPr>
    </w:p>
    <w:p w14:paraId="43FD1089">
      <w:pPr>
        <w:pStyle w:val="3"/>
      </w:pPr>
    </w:p>
    <w:p w14:paraId="0EC4A86D"/>
    <w:p w14:paraId="609D99B6">
      <w:pPr>
        <w:pStyle w:val="7"/>
      </w:pPr>
    </w:p>
    <w:p w14:paraId="5AB3B63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F1C09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931D909">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财政拨款收入：指本级财政当年拨付的资金。</w:t>
      </w:r>
    </w:p>
    <w:p w14:paraId="550F594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四、政府性基金：指各级政府及其所属部门根据法律、国家行政法规和中共中央、国务院有关文件的规定，为支持某项事业发展，按照国家规定程序批准，向公民、法人和其他组织征收的具有专项用途的资金。</w:t>
      </w:r>
    </w:p>
    <w:p w14:paraId="1924687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五、国有资本经营预算：国家以所有者身份对国有资本实行存量调整和增量分配而发生的各项收支预算，是政府预算的重要组成部分。</w:t>
      </w:r>
    </w:p>
    <w:p w14:paraId="5DA3BDF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六、教育支出（类）：是指用于政府教育事务支出，包括保障机构正常运转、完成日常和特定的工作任务或事业发展目标的支出。</w:t>
      </w:r>
    </w:p>
    <w:p w14:paraId="1DED7A0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七、基本支出：指保障机构正常运转、完成支日常工作任务而发生的人员支出和公用支出。</w:t>
      </w:r>
    </w:p>
    <w:p w14:paraId="23A5269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八、项目支出：指在基本支出之外为完成特定行政任务和事业发展目标所发生的支出。</w:t>
      </w:r>
    </w:p>
    <w:p w14:paraId="6E6FD47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394E5B00">
      <w:pPr>
        <w:pStyle w:val="12"/>
        <w:jc w:val="both"/>
        <w:rPr>
          <w:rFonts w:hint="eastAsia" w:ascii="仿宋_GB2312" w:hAnsi="仿宋_GB2312" w:eastAsia="仿宋_GB2312" w:cs="仿宋_GB2312"/>
          <w:sz w:val="32"/>
          <w:szCs w:val="32"/>
        </w:rPr>
      </w:pPr>
    </w:p>
    <w:p w14:paraId="17E880DC">
      <w:pPr>
        <w:pStyle w:val="3"/>
      </w:pPr>
    </w:p>
    <w:p w14:paraId="5D424647"/>
    <w:p w14:paraId="2248F6CC">
      <w:pPr>
        <w:pStyle w:val="7"/>
      </w:pPr>
    </w:p>
    <w:p w14:paraId="32D6AF3B">
      <w:pPr>
        <w:pStyle w:val="3"/>
      </w:pPr>
    </w:p>
    <w:p w14:paraId="01B12FA3"/>
    <w:p w14:paraId="3662D0EA">
      <w:pPr>
        <w:pStyle w:val="7"/>
      </w:pPr>
    </w:p>
    <w:p w14:paraId="6AA19727">
      <w:pPr>
        <w:pStyle w:val="3"/>
      </w:pPr>
    </w:p>
    <w:p w14:paraId="0D300520"/>
    <w:p w14:paraId="32DF774E">
      <w:pPr>
        <w:pStyle w:val="7"/>
      </w:pPr>
    </w:p>
    <w:p w14:paraId="1D451CA4">
      <w:pPr>
        <w:pStyle w:val="3"/>
      </w:pPr>
    </w:p>
    <w:p w14:paraId="41EB074B"/>
    <w:p w14:paraId="525ED7E1">
      <w:pPr>
        <w:pStyle w:val="7"/>
      </w:pPr>
    </w:p>
    <w:p w14:paraId="71E3E1FD">
      <w:pPr>
        <w:pStyle w:val="3"/>
      </w:pPr>
    </w:p>
    <w:p w14:paraId="4E2954A6"/>
    <w:p w14:paraId="0CE9A7B9">
      <w:pPr>
        <w:pStyle w:val="7"/>
      </w:pPr>
    </w:p>
    <w:p w14:paraId="16C56D03">
      <w:pPr>
        <w:pStyle w:val="3"/>
      </w:pPr>
    </w:p>
    <w:p w14:paraId="4CC6EEC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CAEE0ED">
      <w:pPr>
        <w:pStyle w:val="12"/>
        <w:jc w:val="both"/>
        <w:rPr>
          <w:rFonts w:hint="eastAsia" w:ascii="方正小标宋_GBK" w:hAnsi="方正小标宋_GBK" w:eastAsia="方正小标宋_GBK" w:cs="方正小标宋_GBK"/>
          <w:sz w:val="70"/>
          <w:szCs w:val="70"/>
          <w:lang w:eastAsia="zh-CN"/>
        </w:rPr>
      </w:pPr>
    </w:p>
    <w:p w14:paraId="194BEBE9">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FE02460">
      <w:pPr>
        <w:ind w:firstLine="640" w:firstLineChars="200"/>
        <w:jc w:val="left"/>
        <w:rPr>
          <w:rFonts w:hint="eastAsia" w:ascii="宋体" w:hAnsi="宋体" w:eastAsia="宋体" w:cs="黑体"/>
          <w:b/>
          <w:color w:val="000000"/>
          <w:kern w:val="0"/>
          <w:sz w:val="32"/>
          <w:szCs w:val="32"/>
          <w:lang w:val="en-US" w:eastAsia="zh-CN"/>
        </w:rPr>
      </w:pPr>
    </w:p>
    <w:p w14:paraId="7BE0FF32">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3A1995B3">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D774E22"/>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0E1BF073"/>
    <w:multiLevelType w:val="singleLevel"/>
    <w:tmpl w:val="0E1BF073"/>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WExNmY3ZDUyMjQ2MDJlYTQ2NGVjYTY0ZjUxMD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5D1756E"/>
    <w:rsid w:val="08122EF1"/>
    <w:rsid w:val="09FF07C4"/>
    <w:rsid w:val="0AED2469"/>
    <w:rsid w:val="12583BA5"/>
    <w:rsid w:val="13656D12"/>
    <w:rsid w:val="13BA5B9C"/>
    <w:rsid w:val="14FA061A"/>
    <w:rsid w:val="17AD727A"/>
    <w:rsid w:val="183A5F9A"/>
    <w:rsid w:val="19DF0792"/>
    <w:rsid w:val="1D97DEFF"/>
    <w:rsid w:val="1DFF72E5"/>
    <w:rsid w:val="1EFC6F07"/>
    <w:rsid w:val="21801300"/>
    <w:rsid w:val="22AC03C2"/>
    <w:rsid w:val="2B802C2A"/>
    <w:rsid w:val="2CFA5761"/>
    <w:rsid w:val="2DA53A6F"/>
    <w:rsid w:val="2FDF85B8"/>
    <w:rsid w:val="2FFFEE04"/>
    <w:rsid w:val="304E05C5"/>
    <w:rsid w:val="31C95635"/>
    <w:rsid w:val="34DF85B0"/>
    <w:rsid w:val="352232FB"/>
    <w:rsid w:val="3661167F"/>
    <w:rsid w:val="3B8F36BC"/>
    <w:rsid w:val="3FC057FB"/>
    <w:rsid w:val="41D50C68"/>
    <w:rsid w:val="4282037D"/>
    <w:rsid w:val="491FF225"/>
    <w:rsid w:val="493C5914"/>
    <w:rsid w:val="4C1E25EC"/>
    <w:rsid w:val="4E940B16"/>
    <w:rsid w:val="4FFD214C"/>
    <w:rsid w:val="53187C25"/>
    <w:rsid w:val="5352765A"/>
    <w:rsid w:val="5777D4F5"/>
    <w:rsid w:val="57D9690F"/>
    <w:rsid w:val="596A4F3B"/>
    <w:rsid w:val="59DD8326"/>
    <w:rsid w:val="5DEF592A"/>
    <w:rsid w:val="5E701689"/>
    <w:rsid w:val="5F164E4A"/>
    <w:rsid w:val="5FC6BB1E"/>
    <w:rsid w:val="5FF720F1"/>
    <w:rsid w:val="62013FBA"/>
    <w:rsid w:val="62355E26"/>
    <w:rsid w:val="67D143D7"/>
    <w:rsid w:val="67FF5C0B"/>
    <w:rsid w:val="680710DD"/>
    <w:rsid w:val="68EE68DA"/>
    <w:rsid w:val="6BAA4A2F"/>
    <w:rsid w:val="6CFF39D0"/>
    <w:rsid w:val="6EFC0924"/>
    <w:rsid w:val="6FB74722"/>
    <w:rsid w:val="6FEF8B7E"/>
    <w:rsid w:val="71A6591B"/>
    <w:rsid w:val="737D59BA"/>
    <w:rsid w:val="737F32B1"/>
    <w:rsid w:val="74672DAE"/>
    <w:rsid w:val="77C37683"/>
    <w:rsid w:val="78CD5127"/>
    <w:rsid w:val="79FF515B"/>
    <w:rsid w:val="7AC708E0"/>
    <w:rsid w:val="7BB80E3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3277</Words>
  <Characters>3560</Characters>
  <Lines>63</Lines>
  <Paragraphs>18</Paragraphs>
  <TotalTime>10</TotalTime>
  <ScaleCrop>false</ScaleCrop>
  <LinksUpToDate>false</LinksUpToDate>
  <CharactersWithSpaces>3589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大毛</cp:lastModifiedBy>
  <cp:lastPrinted>2024-08-08T10:20:00Z</cp:lastPrinted>
  <dcterms:modified xsi:type="dcterms:W3CDTF">2025-07-30T09:13:57Z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29C2C6D34B8642C0AE27FAE2EED4A763_13</vt:lpwstr>
  </property>
  <property fmtid="{D5CDD505-2E9C-101B-9397-08002B2CF9AE}" pid="4" name="KSOTemplateDocerSaveRecord">
    <vt:lpwstr>eyJoZGlkIjoiNTllMjcxYTU1NTRlYmVkMTU4OTBkMDE3MDQzMjYzNmQiLCJ1c2VySWQiOiIzNjA3NDM3MjIifQ==</vt:lpwstr>
  </property>
</Properties>
</file>