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9E6D68">
      <w:pPr>
        <w:pStyle w:val="14"/>
        <w:jc w:val="center"/>
        <w:rPr>
          <w:sz w:val="56"/>
          <w:szCs w:val="56"/>
        </w:rPr>
      </w:pPr>
    </w:p>
    <w:p w14:paraId="0CA834F4">
      <w:pPr>
        <w:pStyle w:val="14"/>
        <w:jc w:val="center"/>
        <w:rPr>
          <w:sz w:val="56"/>
          <w:szCs w:val="56"/>
        </w:rPr>
      </w:pPr>
    </w:p>
    <w:p w14:paraId="0844A131">
      <w:pPr>
        <w:pStyle w:val="14"/>
        <w:jc w:val="center"/>
        <w:rPr>
          <w:sz w:val="84"/>
          <w:szCs w:val="84"/>
        </w:rPr>
      </w:pPr>
    </w:p>
    <w:p w14:paraId="0B6569BF">
      <w:pPr>
        <w:pStyle w:val="14"/>
        <w:jc w:val="center"/>
        <w:rPr>
          <w:sz w:val="84"/>
          <w:szCs w:val="84"/>
        </w:rPr>
      </w:pPr>
    </w:p>
    <w:p w14:paraId="7574E6CD">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202</w:t>
      </w:r>
      <w:r>
        <w:rPr>
          <w:rFonts w:hint="eastAsia" w:ascii="方正小标宋_GBK" w:hAnsi="方正小标宋_GBK" w:eastAsia="方正小标宋_GBK" w:cs="方正小标宋_GBK"/>
          <w:sz w:val="84"/>
          <w:szCs w:val="84"/>
          <w:lang w:val="en-US" w:eastAsia="zh-CN"/>
        </w:rPr>
        <w:t>3</w:t>
      </w:r>
      <w:r>
        <w:rPr>
          <w:rFonts w:hint="eastAsia" w:ascii="方正小标宋_GBK" w:hAnsi="方正小标宋_GBK" w:eastAsia="方正小标宋_GBK" w:cs="方正小标宋_GBK"/>
          <w:sz w:val="84"/>
          <w:szCs w:val="84"/>
        </w:rPr>
        <w:t>年度</w:t>
      </w:r>
    </w:p>
    <w:p w14:paraId="5DB33CAC">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val="en-US" w:eastAsia="zh-CN"/>
        </w:rPr>
        <w:t>岳阳市岳阳中学</w:t>
      </w:r>
      <w:r>
        <w:rPr>
          <w:rFonts w:hint="eastAsia" w:ascii="方正小标宋_GBK" w:hAnsi="方正小标宋_GBK" w:eastAsia="方正小标宋_GBK" w:cs="方正小标宋_GBK"/>
          <w:sz w:val="84"/>
          <w:szCs w:val="84"/>
        </w:rPr>
        <w:t>部门决算</w:t>
      </w:r>
    </w:p>
    <w:p w14:paraId="23385DB6">
      <w:pPr>
        <w:pStyle w:val="14"/>
        <w:jc w:val="center"/>
        <w:rPr>
          <w:rFonts w:hint="eastAsia" w:ascii="方正小标宋_GBK" w:hAnsi="方正小标宋_GBK" w:eastAsia="方正小标宋_GBK" w:cs="方正小标宋_GBK"/>
          <w:sz w:val="56"/>
          <w:szCs w:val="56"/>
        </w:rPr>
      </w:pPr>
    </w:p>
    <w:p w14:paraId="75DBDACB">
      <w:pPr>
        <w:pStyle w:val="14"/>
        <w:jc w:val="center"/>
        <w:rPr>
          <w:sz w:val="56"/>
          <w:szCs w:val="56"/>
        </w:rPr>
      </w:pPr>
    </w:p>
    <w:p w14:paraId="7BE3A156">
      <w:pPr>
        <w:pStyle w:val="14"/>
        <w:jc w:val="center"/>
        <w:rPr>
          <w:sz w:val="56"/>
          <w:szCs w:val="56"/>
        </w:rPr>
      </w:pPr>
    </w:p>
    <w:p w14:paraId="26F725A3">
      <w:pPr>
        <w:pStyle w:val="14"/>
        <w:jc w:val="center"/>
        <w:rPr>
          <w:sz w:val="56"/>
          <w:szCs w:val="56"/>
        </w:rPr>
      </w:pPr>
    </w:p>
    <w:p w14:paraId="132A16DF">
      <w:pPr>
        <w:pStyle w:val="14"/>
        <w:jc w:val="center"/>
        <w:rPr>
          <w:sz w:val="32"/>
          <w:szCs w:val="32"/>
        </w:rPr>
      </w:pPr>
    </w:p>
    <w:p w14:paraId="01E9778B">
      <w:pPr>
        <w:pStyle w:val="14"/>
        <w:jc w:val="center"/>
        <w:rPr>
          <w:sz w:val="32"/>
          <w:szCs w:val="32"/>
        </w:rPr>
      </w:pPr>
    </w:p>
    <w:p w14:paraId="76E30130">
      <w:pPr>
        <w:pStyle w:val="14"/>
        <w:jc w:val="center"/>
        <w:rPr>
          <w:sz w:val="32"/>
          <w:szCs w:val="32"/>
        </w:rPr>
      </w:pPr>
    </w:p>
    <w:p w14:paraId="2ED42DAD">
      <w:pPr>
        <w:pStyle w:val="14"/>
        <w:jc w:val="center"/>
        <w:rPr>
          <w:sz w:val="32"/>
          <w:szCs w:val="32"/>
        </w:rPr>
      </w:pPr>
    </w:p>
    <w:p w14:paraId="180CA6F7">
      <w:pPr>
        <w:pStyle w:val="14"/>
        <w:jc w:val="center"/>
        <w:rPr>
          <w:sz w:val="32"/>
          <w:szCs w:val="32"/>
        </w:rPr>
      </w:pPr>
    </w:p>
    <w:p w14:paraId="44E2D462">
      <w:pPr>
        <w:pStyle w:val="14"/>
        <w:spacing w:line="540" w:lineRule="exact"/>
        <w:jc w:val="center"/>
        <w:rPr>
          <w:sz w:val="56"/>
          <w:szCs w:val="56"/>
        </w:rPr>
      </w:pPr>
    </w:p>
    <w:p w14:paraId="5E41D253">
      <w:pPr>
        <w:pStyle w:val="14"/>
        <w:spacing w:line="500" w:lineRule="exact"/>
        <w:jc w:val="both"/>
        <w:rPr>
          <w:b/>
          <w:sz w:val="36"/>
          <w:szCs w:val="28"/>
        </w:rPr>
      </w:pPr>
    </w:p>
    <w:p w14:paraId="12B2F83C">
      <w:pPr>
        <w:pStyle w:val="14"/>
        <w:spacing w:line="500" w:lineRule="exact"/>
        <w:jc w:val="center"/>
        <w:rPr>
          <w:b/>
          <w:sz w:val="36"/>
          <w:szCs w:val="28"/>
        </w:rPr>
      </w:pPr>
      <w:r>
        <w:rPr>
          <w:rFonts w:hint="eastAsia"/>
          <w:b/>
          <w:sz w:val="36"/>
          <w:szCs w:val="28"/>
        </w:rPr>
        <w:t>目录</w:t>
      </w:r>
    </w:p>
    <w:p w14:paraId="0661BF30">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第一部分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val="en-US" w:eastAsia="zh-CN"/>
        </w:rPr>
        <w:t>岳阳市岳阳中学</w:t>
      </w:r>
      <w:r>
        <w:rPr>
          <w:rFonts w:hint="eastAsia" w:ascii="黑体" w:hAnsi="黑体" w:eastAsia="黑体" w:cs="黑体"/>
          <w:b w:val="0"/>
          <w:bCs/>
          <w:sz w:val="28"/>
          <w:szCs w:val="28"/>
        </w:rPr>
        <w:t>概况</w:t>
      </w:r>
    </w:p>
    <w:p w14:paraId="364B045C">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一、部门职责</w:t>
      </w:r>
    </w:p>
    <w:p w14:paraId="27ABEEC1">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二、机构设置及决算单位构成</w:t>
      </w:r>
    </w:p>
    <w:p w14:paraId="16860D89">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第二部分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部门决算表</w:t>
      </w:r>
    </w:p>
    <w:p w14:paraId="19C3C5AC">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一、收入支出决算总表</w:t>
      </w:r>
    </w:p>
    <w:p w14:paraId="13D8E7BE">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二、收入决算表</w:t>
      </w:r>
    </w:p>
    <w:p w14:paraId="263B5AA2">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三、支出决算表</w:t>
      </w:r>
    </w:p>
    <w:p w14:paraId="37659E4F">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四、财政拨款收入支出决算总表</w:t>
      </w:r>
    </w:p>
    <w:p w14:paraId="79339A44">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五、一般公共预算财政拨款支出决算表</w:t>
      </w:r>
    </w:p>
    <w:p w14:paraId="6966B81E">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六、一般公共预算财政拨款基本支出决算明细表</w:t>
      </w:r>
    </w:p>
    <w:p w14:paraId="42064212">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七、政府性基金预算财政拨款收入支出决算表</w:t>
      </w:r>
    </w:p>
    <w:p w14:paraId="677ADFA3">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八、国有资本经营预算财政拨款支出决算表</w:t>
      </w:r>
    </w:p>
    <w:p w14:paraId="1216D5CE">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九、财政拨款“三公”经费支出决算表</w:t>
      </w:r>
    </w:p>
    <w:p w14:paraId="7C829119">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第三部分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部门决算情况说明</w:t>
      </w:r>
    </w:p>
    <w:p w14:paraId="686AD60D">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一、收入支出决算总体情况说明</w:t>
      </w:r>
    </w:p>
    <w:p w14:paraId="2F40C128">
      <w:pPr>
        <w:spacing w:line="50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二、收入决算情况说明</w:t>
      </w:r>
    </w:p>
    <w:p w14:paraId="21BBB12D">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三、支出决算情况说明</w:t>
      </w:r>
    </w:p>
    <w:p w14:paraId="3AB4331E">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四、财政拨款收入支出决算总体情况说明</w:t>
      </w:r>
    </w:p>
    <w:p w14:paraId="31D1D0EC">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五、一般公共预算财政拨款支出决算情况说明</w:t>
      </w:r>
    </w:p>
    <w:p w14:paraId="728E7ADA">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六、一般公共预算财政拨款基本支出决算情况说明</w:t>
      </w:r>
    </w:p>
    <w:p w14:paraId="0795FCE4">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七、政府性基金预算收入支出决算情况</w:t>
      </w:r>
    </w:p>
    <w:p w14:paraId="2AF1A859">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八、</w:t>
      </w:r>
      <w:r>
        <w:rPr>
          <w:rFonts w:hint="eastAsia" w:ascii="仿宋_GB2312" w:hAnsi="仿宋_GB2312" w:eastAsia="仿宋_GB2312" w:cs="仿宋_GB2312"/>
          <w:sz w:val="28"/>
          <w:szCs w:val="28"/>
        </w:rPr>
        <w:t>国有资本经营预算财政拨款支出决算</w:t>
      </w:r>
      <w:r>
        <w:rPr>
          <w:rFonts w:hint="eastAsia" w:ascii="仿宋_GB2312" w:hAnsi="仿宋_GB2312" w:eastAsia="仿宋_GB2312" w:cs="仿宋_GB2312"/>
          <w:sz w:val="28"/>
          <w:szCs w:val="28"/>
          <w:lang w:eastAsia="zh-CN"/>
        </w:rPr>
        <w:t>情况</w:t>
      </w:r>
    </w:p>
    <w:p w14:paraId="77C597FD">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lang w:eastAsia="zh-CN"/>
        </w:rPr>
      </w:pPr>
      <w:r>
        <w:rPr>
          <w:rFonts w:hint="eastAsia" w:ascii="仿宋_GB2312" w:hAnsi="仿宋_GB2312" w:eastAsia="仿宋_GB2312" w:cs="仿宋_GB2312"/>
          <w:color w:val="000000"/>
          <w:kern w:val="0"/>
          <w:sz w:val="28"/>
          <w:szCs w:val="28"/>
        </w:rPr>
        <w:t>九、财政拨款三公经费支出决算情况说明</w:t>
      </w:r>
    </w:p>
    <w:p w14:paraId="449CB0BC">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十、关于机关运行经费支出说明</w:t>
      </w:r>
    </w:p>
    <w:p w14:paraId="135B5C1E">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十一、一般性支出情况说明</w:t>
      </w:r>
    </w:p>
    <w:p w14:paraId="1A4F1B25">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sz w:val="28"/>
          <w:szCs w:val="28"/>
        </w:rPr>
        <w:t>十二、</w:t>
      </w:r>
      <w:r>
        <w:rPr>
          <w:rFonts w:hint="eastAsia" w:ascii="仿宋_GB2312" w:hAnsi="仿宋_GB2312" w:eastAsia="仿宋_GB2312" w:cs="仿宋_GB2312"/>
          <w:color w:val="000000"/>
          <w:kern w:val="0"/>
          <w:sz w:val="28"/>
          <w:szCs w:val="28"/>
        </w:rPr>
        <w:t>关于政府采购支出说明</w:t>
      </w:r>
    </w:p>
    <w:p w14:paraId="4F1EE368">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textAlignment w:val="auto"/>
        <w:rPr>
          <w:rFonts w:hint="eastAsia" w:ascii="仿宋_GB2312" w:hAnsi="仿宋_GB2312" w:eastAsia="仿宋_GB2312" w:cs="仿宋_GB2312"/>
          <w:color w:val="000000"/>
          <w:kern w:val="0"/>
          <w:sz w:val="28"/>
          <w:szCs w:val="28"/>
          <w:lang w:val="en-US" w:eastAsia="zh-CN" w:bidi="ar-SA"/>
        </w:rPr>
      </w:pPr>
      <w:r>
        <w:rPr>
          <w:rFonts w:hint="eastAsia" w:ascii="仿宋_GB2312" w:hAnsi="仿宋_GB2312" w:eastAsia="仿宋_GB2312" w:cs="仿宋_GB2312"/>
          <w:color w:val="000000"/>
          <w:kern w:val="0"/>
          <w:sz w:val="28"/>
          <w:szCs w:val="28"/>
          <w:lang w:val="en-US" w:eastAsia="zh-CN" w:bidi="ar-SA"/>
        </w:rPr>
        <w:t>十三、关于国有资产占用情况说明</w:t>
      </w:r>
    </w:p>
    <w:p w14:paraId="0063F42D">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SA"/>
        </w:rPr>
        <w:t>十四、</w:t>
      </w:r>
      <w:r>
        <w:rPr>
          <w:rFonts w:hint="eastAsia" w:ascii="仿宋_GB2312" w:hAnsi="仿宋_GB2312" w:eastAsia="仿宋_GB2312" w:cs="仿宋_GB2312"/>
          <w:sz w:val="28"/>
          <w:szCs w:val="28"/>
        </w:rPr>
        <w:t>关于</w:t>
      </w:r>
      <w:r>
        <w:rPr>
          <w:rFonts w:hint="default" w:ascii="Times New Roman" w:hAnsi="Times New Roman" w:eastAsia="仿宋_GB2312" w:cs="Times New Roman"/>
          <w:sz w:val="28"/>
          <w:szCs w:val="28"/>
        </w:rPr>
        <w:t>202</w:t>
      </w:r>
      <w:r>
        <w:rPr>
          <w:rFonts w:hint="default" w:ascii="Times New Roman" w:hAnsi="Times New Roman" w:eastAsia="仿宋_GB2312" w:cs="Times New Roman"/>
          <w:sz w:val="28"/>
          <w:szCs w:val="28"/>
          <w:lang w:val="en-US" w:eastAsia="zh-CN"/>
        </w:rPr>
        <w:t>3</w:t>
      </w:r>
      <w:r>
        <w:rPr>
          <w:rFonts w:hint="eastAsia" w:ascii="仿宋_GB2312" w:hAnsi="仿宋_GB2312" w:eastAsia="仿宋_GB2312" w:cs="仿宋_GB2312"/>
          <w:sz w:val="28"/>
          <w:szCs w:val="28"/>
        </w:rPr>
        <w:t>年度</w:t>
      </w:r>
      <w:r>
        <w:rPr>
          <w:rFonts w:hint="eastAsia" w:ascii="仿宋_GB2312" w:hAnsi="仿宋_GB2312" w:eastAsia="仿宋_GB2312" w:cs="仿宋_GB2312"/>
          <w:sz w:val="28"/>
          <w:szCs w:val="28"/>
          <w:lang w:eastAsia="zh-CN"/>
        </w:rPr>
        <w:t>预算</w:t>
      </w:r>
      <w:r>
        <w:rPr>
          <w:rFonts w:hint="eastAsia" w:ascii="仿宋_GB2312" w:hAnsi="仿宋_GB2312" w:eastAsia="仿宋_GB2312" w:cs="仿宋_GB2312"/>
          <w:sz w:val="28"/>
          <w:szCs w:val="28"/>
        </w:rPr>
        <w:t>绩效情况的说明</w:t>
      </w:r>
    </w:p>
    <w:p w14:paraId="4E6C9161">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第四部分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名词解释</w:t>
      </w:r>
    </w:p>
    <w:p w14:paraId="1112C17E">
      <w:pPr>
        <w:pStyle w:val="14"/>
        <w:spacing w:line="500" w:lineRule="exact"/>
        <w:rPr>
          <w:rFonts w:hint="eastAsia" w:ascii="黑体" w:hAnsi="黑体" w:eastAsia="黑体" w:cs="黑体"/>
          <w:b w:val="0"/>
          <w:bCs/>
          <w:sz w:val="28"/>
          <w:szCs w:val="28"/>
          <w:lang w:eastAsia="zh-CN"/>
        </w:rPr>
      </w:pPr>
      <w:r>
        <w:rPr>
          <w:rFonts w:hint="eastAsia" w:ascii="黑体" w:hAnsi="黑体" w:eastAsia="黑体" w:cs="黑体"/>
          <w:b w:val="0"/>
          <w:bCs/>
          <w:sz w:val="28"/>
          <w:szCs w:val="28"/>
        </w:rPr>
        <w:t>第</w:t>
      </w:r>
      <w:r>
        <w:rPr>
          <w:rFonts w:hint="eastAsia" w:hAnsi="黑体" w:cs="黑体"/>
          <w:b w:val="0"/>
          <w:bCs/>
          <w:sz w:val="28"/>
          <w:szCs w:val="28"/>
          <w:lang w:eastAsia="zh-CN"/>
        </w:rPr>
        <w:t>五</w:t>
      </w:r>
      <w:r>
        <w:rPr>
          <w:rFonts w:hint="eastAsia" w:ascii="黑体" w:hAnsi="黑体" w:eastAsia="黑体" w:cs="黑体"/>
          <w:b w:val="0"/>
          <w:bCs/>
          <w:sz w:val="28"/>
          <w:szCs w:val="28"/>
        </w:rPr>
        <w:t>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eastAsia="zh-CN"/>
        </w:rPr>
        <w:t>附件</w:t>
      </w:r>
    </w:p>
    <w:p w14:paraId="3AD4AC3B">
      <w:pPr>
        <w:pStyle w:val="14"/>
        <w:jc w:val="center"/>
        <w:rPr>
          <w:rFonts w:hint="eastAsia" w:ascii="方正小标宋_GBK" w:hAnsi="方正小标宋_GBK" w:eastAsia="方正小标宋_GBK" w:cs="方正小标宋_GBK"/>
          <w:sz w:val="84"/>
          <w:szCs w:val="84"/>
        </w:rPr>
      </w:pPr>
    </w:p>
    <w:p w14:paraId="462B07D4">
      <w:pPr>
        <w:pStyle w:val="14"/>
        <w:jc w:val="center"/>
        <w:rPr>
          <w:rFonts w:hint="eastAsia" w:ascii="方正小标宋_GBK" w:hAnsi="方正小标宋_GBK" w:eastAsia="方正小标宋_GBK" w:cs="方正小标宋_GBK"/>
          <w:sz w:val="84"/>
          <w:szCs w:val="84"/>
        </w:rPr>
      </w:pPr>
    </w:p>
    <w:p w14:paraId="565C76AE">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 xml:space="preserve">第一部分 </w:t>
      </w:r>
    </w:p>
    <w:p w14:paraId="741CC4EE">
      <w:pPr>
        <w:pStyle w:val="14"/>
        <w:jc w:val="center"/>
        <w:rPr>
          <w:rFonts w:hint="eastAsia" w:ascii="方正小标宋_GBK" w:hAnsi="方正小标宋_GBK" w:eastAsia="方正小标宋_GBK" w:cs="方正小标宋_GBK"/>
          <w:sz w:val="84"/>
          <w:szCs w:val="84"/>
        </w:rPr>
      </w:pPr>
    </w:p>
    <w:p w14:paraId="0B6B53B0">
      <w:pPr>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val="en-US" w:eastAsia="zh-CN"/>
        </w:rPr>
        <w:t>岳阳市岳阳中学</w:t>
      </w:r>
      <w:r>
        <w:rPr>
          <w:rFonts w:hint="eastAsia" w:ascii="方正小标宋_GBK" w:hAnsi="方正小标宋_GBK" w:eastAsia="方正小标宋_GBK" w:cs="方正小标宋_GBK"/>
          <w:sz w:val="84"/>
          <w:szCs w:val="84"/>
        </w:rPr>
        <w:t>概况</w:t>
      </w:r>
    </w:p>
    <w:p w14:paraId="41F2EBFC">
      <w:pPr>
        <w:pStyle w:val="8"/>
        <w:rPr>
          <w:rFonts w:hint="eastAsia" w:ascii="方正小标宋_GBK" w:hAnsi="方正小标宋_GBK" w:eastAsia="方正小标宋_GBK" w:cs="方正小标宋_GBK"/>
          <w:sz w:val="84"/>
          <w:szCs w:val="84"/>
        </w:rPr>
      </w:pPr>
    </w:p>
    <w:p w14:paraId="422A639D">
      <w:pPr>
        <w:pStyle w:val="4"/>
        <w:rPr>
          <w:rFonts w:hint="eastAsia" w:ascii="方正小标宋_GBK" w:hAnsi="方正小标宋_GBK" w:eastAsia="方正小标宋_GBK" w:cs="方正小标宋_GBK"/>
          <w:sz w:val="84"/>
          <w:szCs w:val="84"/>
        </w:rPr>
      </w:pPr>
    </w:p>
    <w:p w14:paraId="60419EDD">
      <w:pPr>
        <w:rPr>
          <w:rFonts w:hint="eastAsia" w:ascii="方正小标宋_GBK" w:hAnsi="方正小标宋_GBK" w:eastAsia="方正小标宋_GBK" w:cs="方正小标宋_GBK"/>
          <w:sz w:val="84"/>
          <w:szCs w:val="84"/>
        </w:rPr>
      </w:pPr>
    </w:p>
    <w:p w14:paraId="16DEF6F0">
      <w:pPr>
        <w:pStyle w:val="8"/>
        <w:rPr>
          <w:rFonts w:hint="eastAsia" w:ascii="方正小标宋_GBK" w:hAnsi="方正小标宋_GBK" w:eastAsia="方正小标宋_GBK" w:cs="方正小标宋_GBK"/>
          <w:sz w:val="84"/>
          <w:szCs w:val="84"/>
        </w:rPr>
      </w:pPr>
    </w:p>
    <w:p w14:paraId="2D32F1EA">
      <w:pPr>
        <w:pStyle w:val="4"/>
        <w:rPr>
          <w:rFonts w:hint="eastAsia" w:ascii="方正小标宋_GBK" w:hAnsi="方正小标宋_GBK" w:eastAsia="方正小标宋_GBK" w:cs="方正小标宋_GBK"/>
          <w:sz w:val="84"/>
          <w:szCs w:val="84"/>
        </w:rPr>
      </w:pPr>
    </w:p>
    <w:p w14:paraId="1E5A0B5B">
      <w:pPr>
        <w:pStyle w:val="15"/>
        <w:numPr>
          <w:ilvl w:val="0"/>
          <w:numId w:val="1"/>
        </w:numPr>
        <w:ind w:firstLineChars="0"/>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部门职责</w:t>
      </w:r>
    </w:p>
    <w:p w14:paraId="7159559E">
      <w:pPr>
        <w:keepNext/>
        <w:keepLines/>
        <w:shd w:val="clear" w:color="auto" w:fill="FFFFFF"/>
        <w:ind w:firstLine="64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（一）办公室负责行政协调、党务、宣传、人事、计生、工资福利及有关内部事务的管理；</w:t>
      </w:r>
    </w:p>
    <w:p w14:paraId="1875D227">
      <w:pPr>
        <w:keepNext/>
        <w:keepLines/>
        <w:shd w:val="clear" w:color="auto" w:fill="FFFFFF"/>
        <w:ind w:firstLine="64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（二）教务处负责学校教育教学常规管理，以及有关教育教学的场、馆、室和设备的管理；</w:t>
      </w:r>
    </w:p>
    <w:p w14:paraId="3AEAB12B">
      <w:pPr>
        <w:keepNext/>
        <w:keepLines/>
        <w:shd w:val="clear" w:color="auto" w:fill="FFFFFF"/>
        <w:ind w:firstLine="64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（三）德育处负责学校德育工作、班主任工作管理和学生思想政治教育，抓好校园保卫和环保工作；</w:t>
      </w:r>
    </w:p>
    <w:p w14:paraId="55AC0151">
      <w:pPr>
        <w:keepNext/>
        <w:keepLines/>
        <w:shd w:val="clear" w:color="auto" w:fill="FFFFFF"/>
        <w:ind w:firstLine="64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（四）教研处负责制定学校科研计划，指导教师开展教学科研和课题研究工作；</w:t>
      </w:r>
    </w:p>
    <w:p w14:paraId="6069449A">
      <w:pPr>
        <w:keepNext/>
        <w:keepLines/>
        <w:shd w:val="clear" w:color="auto" w:fill="FFFFFF"/>
        <w:ind w:firstLine="64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（五）后勤处负责学校后勤事务、财务、物业管理，优化校园建设，指导后勤服务中心开展工作，发展校园经济。</w:t>
      </w:r>
    </w:p>
    <w:p w14:paraId="4ADE8029">
      <w:pPr>
        <w:widowControl/>
        <w:spacing w:line="600" w:lineRule="exac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二、机构设置及决算单位构成</w:t>
      </w:r>
    </w:p>
    <w:p w14:paraId="58B54CC0">
      <w:pPr>
        <w:widowControl/>
        <w:spacing w:line="600" w:lineRule="exact"/>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（一）内设机构设置。我校现有组织机构1个，内设5个部门：办公室、教务处、德育处、教研处、后勤处。</w:t>
      </w:r>
    </w:p>
    <w:p w14:paraId="78B6FD8F">
      <w:pPr>
        <w:widowControl/>
        <w:spacing w:line="600" w:lineRule="exact"/>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（二）决算单位构成。本单位无独立核算的下属单位，202</w:t>
      </w:r>
      <w:r>
        <w:rPr>
          <w:rFonts w:hint="eastAsia" w:ascii="Times New Roman" w:hAnsi="Times New Roman" w:eastAsia="仿宋_GB2312" w:cs="仿宋_GB2312"/>
          <w:bCs/>
          <w:kern w:val="0"/>
          <w:sz w:val="32"/>
          <w:szCs w:val="32"/>
          <w:lang w:val="en-US" w:eastAsia="zh-CN"/>
        </w:rPr>
        <w:t>3</w:t>
      </w:r>
      <w:r>
        <w:rPr>
          <w:rFonts w:hint="eastAsia" w:ascii="Times New Roman" w:hAnsi="Times New Roman" w:eastAsia="仿宋_GB2312" w:cs="仿宋_GB2312"/>
          <w:bCs/>
          <w:kern w:val="0"/>
          <w:sz w:val="32"/>
          <w:szCs w:val="32"/>
        </w:rPr>
        <w:t>年度部门决算汇总公开单位仅包括岳阳市岳阳中学本级。</w:t>
      </w:r>
    </w:p>
    <w:p w14:paraId="5C9B7D2F">
      <w:pPr>
        <w:widowControl/>
        <w:spacing w:line="600" w:lineRule="exact"/>
        <w:rPr>
          <w:rFonts w:hint="eastAsia" w:ascii="Times New Roman" w:hAnsi="Times New Roman" w:eastAsia="仿宋_GB2312" w:cs="仿宋_GB2312"/>
          <w:bCs/>
          <w:kern w:val="0"/>
          <w:sz w:val="32"/>
          <w:szCs w:val="32"/>
        </w:rPr>
      </w:pPr>
    </w:p>
    <w:p w14:paraId="3207CF53">
      <w:pPr>
        <w:pStyle w:val="8"/>
      </w:pPr>
    </w:p>
    <w:p w14:paraId="70DEF9A3">
      <w:pPr>
        <w:pStyle w:val="4"/>
      </w:pPr>
    </w:p>
    <w:p w14:paraId="2316441B"/>
    <w:p w14:paraId="478882C2">
      <w:pPr>
        <w:pStyle w:val="8"/>
      </w:pPr>
    </w:p>
    <w:p w14:paraId="0F1DC637">
      <w:pPr>
        <w:pStyle w:val="4"/>
      </w:pPr>
    </w:p>
    <w:p w14:paraId="577E847E"/>
    <w:p w14:paraId="6B95FFB2">
      <w:pPr>
        <w:pStyle w:val="8"/>
      </w:pPr>
    </w:p>
    <w:p w14:paraId="1F41C4E5">
      <w:pPr>
        <w:pStyle w:val="4"/>
      </w:pPr>
    </w:p>
    <w:p w14:paraId="02B07F57"/>
    <w:p w14:paraId="14460FC5">
      <w:pPr>
        <w:pStyle w:val="8"/>
      </w:pPr>
    </w:p>
    <w:p w14:paraId="0A7ADDF6">
      <w:pPr>
        <w:pStyle w:val="4"/>
      </w:pPr>
    </w:p>
    <w:p w14:paraId="1911F714"/>
    <w:p w14:paraId="1AB00D5F">
      <w:pPr>
        <w:pStyle w:val="8"/>
      </w:pPr>
    </w:p>
    <w:p w14:paraId="0505D2C0">
      <w:pPr>
        <w:pStyle w:val="4"/>
      </w:pPr>
    </w:p>
    <w:p w14:paraId="69420574"/>
    <w:p w14:paraId="443F9546">
      <w:pPr>
        <w:pStyle w:val="8"/>
      </w:pPr>
    </w:p>
    <w:p w14:paraId="42D4710F">
      <w:pPr>
        <w:pStyle w:val="4"/>
      </w:pPr>
    </w:p>
    <w:p w14:paraId="37B26E38"/>
    <w:p w14:paraId="068DFA30">
      <w:pPr>
        <w:pStyle w:val="8"/>
      </w:pPr>
    </w:p>
    <w:p w14:paraId="58C2E3B1">
      <w:pPr>
        <w:pStyle w:val="4"/>
      </w:pPr>
    </w:p>
    <w:p w14:paraId="0CA304F5"/>
    <w:p w14:paraId="0A346788">
      <w:pPr>
        <w:pStyle w:val="8"/>
      </w:pPr>
    </w:p>
    <w:p w14:paraId="5A71D537">
      <w:pPr>
        <w:pStyle w:val="4"/>
      </w:pPr>
    </w:p>
    <w:p w14:paraId="37D2330B"/>
    <w:p w14:paraId="707A859B">
      <w:pPr>
        <w:pStyle w:val="14"/>
        <w:jc w:val="center"/>
        <w:rPr>
          <w:rFonts w:hint="eastAsia" w:ascii="方正小标宋_GBK" w:hAnsi="方正小标宋_GBK" w:eastAsia="方正小标宋_GBK" w:cs="方正小标宋_GBK"/>
          <w:sz w:val="84"/>
          <w:szCs w:val="84"/>
        </w:rPr>
      </w:pPr>
    </w:p>
    <w:p w14:paraId="5EA9455A">
      <w:pPr>
        <w:pStyle w:val="14"/>
        <w:jc w:val="center"/>
        <w:rPr>
          <w:rFonts w:hint="eastAsia" w:ascii="方正小标宋_GBK" w:hAnsi="方正小标宋_GBK" w:eastAsia="方正小标宋_GBK" w:cs="方正小标宋_GBK"/>
          <w:sz w:val="84"/>
          <w:szCs w:val="84"/>
        </w:rPr>
      </w:pPr>
    </w:p>
    <w:p w14:paraId="044BB708">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第二部分</w:t>
      </w:r>
    </w:p>
    <w:p w14:paraId="2735E38D">
      <w:pPr>
        <w:pStyle w:val="14"/>
        <w:jc w:val="center"/>
        <w:rPr>
          <w:rFonts w:hint="eastAsia" w:ascii="方正小标宋_GBK" w:hAnsi="方正小标宋_GBK" w:eastAsia="方正小标宋_GBK" w:cs="方正小标宋_GBK"/>
          <w:sz w:val="84"/>
          <w:szCs w:val="84"/>
        </w:rPr>
      </w:pPr>
    </w:p>
    <w:p w14:paraId="47506424">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部门决算表</w:t>
      </w:r>
    </w:p>
    <w:p w14:paraId="2AF98A2B">
      <w:pPr>
        <w:pStyle w:val="14"/>
        <w:jc w:val="center"/>
        <w:rPr>
          <w:rFonts w:hint="eastAsia" w:ascii="仿宋_GB2312" w:hAnsi="仿宋_GB2312" w:eastAsia="仿宋_GB2312" w:cs="仿宋_GB2312"/>
          <w:b w:val="0"/>
          <w:bCs w:val="0"/>
          <w:sz w:val="72"/>
          <w:szCs w:val="72"/>
          <w:lang w:eastAsia="zh-CN"/>
        </w:rPr>
      </w:pPr>
      <w:r>
        <w:rPr>
          <w:rFonts w:hint="eastAsia" w:ascii="仿宋_GB2312" w:hAnsi="仿宋_GB2312" w:eastAsia="仿宋_GB2312" w:cs="仿宋_GB2312"/>
          <w:b w:val="0"/>
          <w:bCs w:val="0"/>
          <w:sz w:val="72"/>
          <w:szCs w:val="72"/>
          <w:lang w:eastAsia="zh-CN"/>
        </w:rPr>
        <w:t>（见附件）</w:t>
      </w:r>
    </w:p>
    <w:p w14:paraId="73C77C83">
      <w:pPr>
        <w:pStyle w:val="14"/>
        <w:jc w:val="center"/>
        <w:rPr>
          <w:rFonts w:hint="eastAsia" w:ascii="仿宋_GB2312" w:hAnsi="仿宋_GB2312" w:eastAsia="仿宋_GB2312" w:cs="仿宋_GB2312"/>
          <w:b w:val="0"/>
          <w:bCs w:val="0"/>
          <w:sz w:val="72"/>
          <w:szCs w:val="72"/>
          <w:lang w:eastAsia="zh-CN"/>
        </w:rPr>
      </w:pPr>
    </w:p>
    <w:p w14:paraId="04354B84">
      <w:pPr>
        <w:pStyle w:val="14"/>
        <w:jc w:val="center"/>
        <w:rPr>
          <w:rFonts w:hint="eastAsia" w:ascii="仿宋_GB2312" w:hAnsi="仿宋_GB2312" w:eastAsia="仿宋_GB2312" w:cs="仿宋_GB2312"/>
          <w:b w:val="0"/>
          <w:bCs w:val="0"/>
          <w:sz w:val="72"/>
          <w:szCs w:val="72"/>
          <w:lang w:eastAsia="zh-CN"/>
        </w:rPr>
      </w:pPr>
    </w:p>
    <w:p w14:paraId="1B51D64A">
      <w:pPr>
        <w:pStyle w:val="14"/>
        <w:jc w:val="center"/>
        <w:rPr>
          <w:rFonts w:hint="eastAsia" w:ascii="仿宋_GB2312" w:hAnsi="仿宋_GB2312" w:eastAsia="仿宋_GB2312" w:cs="仿宋_GB2312"/>
          <w:b w:val="0"/>
          <w:bCs w:val="0"/>
          <w:sz w:val="72"/>
          <w:szCs w:val="72"/>
          <w:lang w:eastAsia="zh-CN"/>
        </w:rPr>
      </w:pPr>
    </w:p>
    <w:p w14:paraId="50617F4A">
      <w:pPr>
        <w:pStyle w:val="14"/>
        <w:jc w:val="center"/>
        <w:rPr>
          <w:rFonts w:hint="eastAsia" w:ascii="仿宋_GB2312" w:hAnsi="仿宋_GB2312" w:eastAsia="仿宋_GB2312" w:cs="仿宋_GB2312"/>
          <w:b w:val="0"/>
          <w:bCs w:val="0"/>
          <w:sz w:val="72"/>
          <w:szCs w:val="72"/>
          <w:lang w:eastAsia="zh-CN"/>
        </w:rPr>
      </w:pPr>
    </w:p>
    <w:p w14:paraId="4D1C7D73">
      <w:pPr>
        <w:pStyle w:val="14"/>
        <w:jc w:val="center"/>
        <w:rPr>
          <w:rFonts w:hint="eastAsia" w:ascii="仿宋_GB2312" w:hAnsi="仿宋_GB2312" w:eastAsia="仿宋_GB2312" w:cs="仿宋_GB2312"/>
          <w:b w:val="0"/>
          <w:bCs w:val="0"/>
          <w:sz w:val="72"/>
          <w:szCs w:val="72"/>
          <w:lang w:eastAsia="zh-CN"/>
        </w:rPr>
      </w:pPr>
    </w:p>
    <w:p w14:paraId="7E07C242">
      <w:pPr>
        <w:pStyle w:val="14"/>
        <w:jc w:val="center"/>
        <w:rPr>
          <w:rFonts w:hint="eastAsia" w:ascii="仿宋_GB2312" w:hAnsi="仿宋_GB2312" w:eastAsia="仿宋_GB2312" w:cs="仿宋_GB2312"/>
          <w:b w:val="0"/>
          <w:bCs w:val="0"/>
          <w:sz w:val="72"/>
          <w:szCs w:val="72"/>
          <w:lang w:eastAsia="zh-CN"/>
        </w:rPr>
      </w:pPr>
    </w:p>
    <w:p w14:paraId="35DE1C02">
      <w:pPr>
        <w:pStyle w:val="14"/>
        <w:jc w:val="center"/>
        <w:rPr>
          <w:rFonts w:hint="eastAsia" w:ascii="仿宋_GB2312" w:hAnsi="仿宋_GB2312" w:eastAsia="仿宋_GB2312" w:cs="仿宋_GB2312"/>
          <w:b w:val="0"/>
          <w:bCs w:val="0"/>
          <w:sz w:val="72"/>
          <w:szCs w:val="72"/>
          <w:lang w:eastAsia="zh-CN"/>
        </w:rPr>
      </w:pPr>
    </w:p>
    <w:p w14:paraId="76F96CDF">
      <w:pPr>
        <w:pStyle w:val="14"/>
        <w:jc w:val="center"/>
        <w:rPr>
          <w:rFonts w:hint="eastAsia" w:ascii="方正小标宋_GBK" w:hAnsi="方正小标宋_GBK" w:eastAsia="方正小标宋_GBK" w:cs="方正小标宋_GBK"/>
          <w:sz w:val="72"/>
          <w:szCs w:val="72"/>
        </w:rPr>
      </w:pPr>
    </w:p>
    <w:p w14:paraId="1B2CD612">
      <w:pPr>
        <w:pStyle w:val="14"/>
        <w:jc w:val="center"/>
        <w:rPr>
          <w:rFonts w:hint="eastAsia" w:ascii="方正小标宋_GBK" w:hAnsi="方正小标宋_GBK" w:eastAsia="方正小标宋_GBK" w:cs="方正小标宋_GBK"/>
          <w:sz w:val="72"/>
          <w:szCs w:val="72"/>
        </w:rPr>
      </w:pPr>
    </w:p>
    <w:p w14:paraId="7740AF9B">
      <w:pPr>
        <w:pStyle w:val="14"/>
        <w:jc w:val="both"/>
        <w:rPr>
          <w:rFonts w:hint="eastAsia" w:ascii="方正小标宋_GBK" w:hAnsi="方正小标宋_GBK" w:eastAsia="方正小标宋_GBK" w:cs="方正小标宋_GBK"/>
          <w:sz w:val="72"/>
          <w:szCs w:val="72"/>
        </w:rPr>
      </w:pPr>
    </w:p>
    <w:p w14:paraId="5D72F4B4">
      <w:pPr>
        <w:pStyle w:val="14"/>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第三部分</w:t>
      </w:r>
    </w:p>
    <w:p w14:paraId="138C63E7">
      <w:pPr>
        <w:pStyle w:val="14"/>
        <w:jc w:val="center"/>
        <w:rPr>
          <w:rFonts w:hint="eastAsia" w:ascii="方正小标宋_GBK" w:hAnsi="方正小标宋_GBK" w:eastAsia="方正小标宋_GBK" w:cs="方正小标宋_GBK"/>
          <w:sz w:val="70"/>
          <w:szCs w:val="70"/>
        </w:rPr>
      </w:pPr>
    </w:p>
    <w:p w14:paraId="723895EE">
      <w:pPr>
        <w:pStyle w:val="14"/>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0"/>
          <w:szCs w:val="70"/>
        </w:rPr>
        <w:t>202</w:t>
      </w:r>
      <w:r>
        <w:rPr>
          <w:rFonts w:hint="eastAsia" w:ascii="方正小标宋_GBK" w:hAnsi="方正小标宋_GBK" w:eastAsia="方正小标宋_GBK" w:cs="方正小标宋_GBK"/>
          <w:sz w:val="70"/>
          <w:szCs w:val="70"/>
          <w:lang w:val="en-US" w:eastAsia="zh-CN"/>
        </w:rPr>
        <w:t>3</w:t>
      </w:r>
      <w:r>
        <w:rPr>
          <w:rFonts w:hint="eastAsia" w:ascii="方正小标宋_GBK" w:hAnsi="方正小标宋_GBK" w:eastAsia="方正小标宋_GBK" w:cs="方正小标宋_GBK"/>
          <w:sz w:val="70"/>
          <w:szCs w:val="70"/>
        </w:rPr>
        <w:t>年度部门决算情况说明</w:t>
      </w:r>
    </w:p>
    <w:p w14:paraId="1F4C8AA4">
      <w:pPr>
        <w:pStyle w:val="14"/>
        <w:jc w:val="center"/>
        <w:rPr>
          <w:rFonts w:hint="eastAsia" w:ascii="方正小标宋_GBK" w:hAnsi="方正小标宋_GBK" w:eastAsia="方正小标宋_GBK" w:cs="方正小标宋_GBK"/>
          <w:sz w:val="70"/>
          <w:szCs w:val="70"/>
        </w:rPr>
      </w:pPr>
    </w:p>
    <w:p w14:paraId="7983BF4A">
      <w:pPr>
        <w:pStyle w:val="14"/>
        <w:jc w:val="center"/>
        <w:rPr>
          <w:rFonts w:hint="eastAsia" w:ascii="方正小标宋_GBK" w:hAnsi="方正小标宋_GBK" w:eastAsia="方正小标宋_GBK" w:cs="方正小标宋_GBK"/>
          <w:sz w:val="70"/>
          <w:szCs w:val="70"/>
        </w:rPr>
      </w:pPr>
    </w:p>
    <w:p w14:paraId="21B10D81">
      <w:pPr>
        <w:pStyle w:val="14"/>
        <w:jc w:val="center"/>
        <w:rPr>
          <w:rFonts w:hint="eastAsia" w:ascii="方正小标宋_GBK" w:hAnsi="方正小标宋_GBK" w:eastAsia="方正小标宋_GBK" w:cs="方正小标宋_GBK"/>
          <w:sz w:val="70"/>
          <w:szCs w:val="70"/>
        </w:rPr>
      </w:pPr>
    </w:p>
    <w:p w14:paraId="7CE51D99">
      <w:pPr>
        <w:pStyle w:val="14"/>
        <w:jc w:val="center"/>
        <w:rPr>
          <w:rFonts w:hint="eastAsia" w:ascii="方正小标宋_GBK" w:hAnsi="方正小标宋_GBK" w:eastAsia="方正小标宋_GBK" w:cs="方正小标宋_GBK"/>
          <w:sz w:val="70"/>
          <w:szCs w:val="70"/>
        </w:rPr>
      </w:pPr>
    </w:p>
    <w:p w14:paraId="679F7D71">
      <w:pPr>
        <w:pStyle w:val="14"/>
        <w:jc w:val="center"/>
        <w:rPr>
          <w:rFonts w:hint="eastAsia" w:ascii="方正小标宋_GBK" w:hAnsi="方正小标宋_GBK" w:eastAsia="方正小标宋_GBK" w:cs="方正小标宋_GBK"/>
          <w:sz w:val="70"/>
          <w:szCs w:val="70"/>
        </w:rPr>
      </w:pPr>
    </w:p>
    <w:p w14:paraId="08B52A01">
      <w:pPr>
        <w:pStyle w:val="14"/>
        <w:jc w:val="center"/>
        <w:rPr>
          <w:rFonts w:hint="eastAsia" w:ascii="方正小标宋_GBK" w:hAnsi="方正小标宋_GBK" w:eastAsia="方正小标宋_GBK" w:cs="方正小标宋_GBK"/>
          <w:sz w:val="70"/>
          <w:szCs w:val="70"/>
        </w:rPr>
      </w:pPr>
    </w:p>
    <w:p w14:paraId="426C35ED">
      <w:pPr>
        <w:widowControl/>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说明：</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由于</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决算编制时</w:t>
      </w:r>
      <w:r>
        <w:rPr>
          <w:rFonts w:hint="eastAsia" w:ascii="仿宋_GB2312" w:hAnsi="仿宋_GB2312" w:eastAsia="仿宋_GB2312" w:cs="仿宋_GB2312"/>
          <w:sz w:val="32"/>
          <w:szCs w:val="32"/>
          <w:lang w:eastAsia="zh-CN"/>
        </w:rPr>
        <w:t>数据</w:t>
      </w:r>
      <w:r>
        <w:rPr>
          <w:rFonts w:hint="eastAsia" w:ascii="仿宋_GB2312" w:hAnsi="仿宋_GB2312" w:eastAsia="仿宋_GB2312" w:cs="仿宋_GB2312"/>
          <w:sz w:val="32"/>
          <w:szCs w:val="32"/>
        </w:rPr>
        <w:t>明细</w:t>
      </w:r>
      <w:r>
        <w:rPr>
          <w:rFonts w:hint="eastAsia" w:ascii="仿宋_GB2312" w:hAnsi="仿宋_GB2312" w:eastAsia="仿宋_GB2312" w:cs="仿宋_GB2312"/>
          <w:sz w:val="32"/>
          <w:szCs w:val="32"/>
          <w:lang w:eastAsia="zh-CN"/>
        </w:rPr>
        <w:t>至“金额单位：元</w:t>
      </w:r>
      <w:r>
        <w:rPr>
          <w:rFonts w:hint="eastAsia" w:ascii="仿宋_GB2312" w:hAnsi="仿宋_GB2312" w:eastAsia="仿宋_GB2312" w:cs="仿宋_GB2312"/>
          <w:sz w:val="32"/>
          <w:szCs w:val="32"/>
        </w:rPr>
        <w:t>”，而</w:t>
      </w:r>
      <w:r>
        <w:rPr>
          <w:rFonts w:hint="eastAsia" w:ascii="仿宋_GB2312" w:hAnsi="仿宋_GB2312" w:eastAsia="仿宋_GB2312" w:cs="仿宋_GB2312"/>
          <w:sz w:val="32"/>
          <w:szCs w:val="32"/>
          <w:lang w:eastAsia="zh-CN"/>
        </w:rPr>
        <w:t>本套部门决算文字说明</w:t>
      </w:r>
      <w:r>
        <w:rPr>
          <w:rFonts w:hint="eastAsia" w:ascii="仿宋_GB2312" w:hAnsi="仿宋_GB2312" w:eastAsia="仿宋_GB2312" w:cs="仿宋_GB2312"/>
          <w:sz w:val="32"/>
          <w:szCs w:val="32"/>
        </w:rPr>
        <w:t>和公开表格</w:t>
      </w:r>
      <w:r>
        <w:rPr>
          <w:rFonts w:hint="eastAsia" w:ascii="仿宋_GB2312" w:hAnsi="仿宋_GB2312" w:eastAsia="仿宋_GB2312" w:cs="仿宋_GB2312"/>
          <w:sz w:val="32"/>
          <w:szCs w:val="32"/>
          <w:lang w:eastAsia="zh-CN"/>
        </w:rPr>
        <w:t>数据</w:t>
      </w:r>
      <w:r>
        <w:rPr>
          <w:rFonts w:hint="eastAsia" w:ascii="仿宋_GB2312" w:hAnsi="仿宋_GB2312" w:eastAsia="仿宋_GB2312" w:cs="仿宋_GB2312"/>
          <w:sz w:val="32"/>
          <w:szCs w:val="32"/>
        </w:rPr>
        <w:t>取数</w:t>
      </w:r>
      <w:r>
        <w:rPr>
          <w:rFonts w:hint="eastAsia" w:ascii="仿宋_GB2312" w:hAnsi="仿宋_GB2312" w:eastAsia="仿宋_GB2312" w:cs="仿宋_GB2312"/>
          <w:sz w:val="32"/>
          <w:szCs w:val="32"/>
          <w:lang w:eastAsia="zh-CN"/>
        </w:rPr>
        <w:t>转换为</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金额单位：</w:t>
      </w:r>
      <w:r>
        <w:rPr>
          <w:rFonts w:hint="eastAsia" w:ascii="仿宋_GB2312" w:hAnsi="仿宋_GB2312" w:eastAsia="仿宋_GB2312" w:cs="仿宋_GB2312"/>
          <w:sz w:val="32"/>
          <w:szCs w:val="32"/>
        </w:rPr>
        <w:t>万元”，可能导致</w:t>
      </w:r>
      <w:r>
        <w:rPr>
          <w:rFonts w:hint="eastAsia" w:ascii="仿宋_GB2312" w:hAnsi="仿宋_GB2312" w:eastAsia="仿宋_GB2312" w:cs="仿宋_GB2312"/>
          <w:sz w:val="32"/>
          <w:szCs w:val="32"/>
          <w:lang w:eastAsia="zh-CN"/>
        </w:rPr>
        <w:t>以下文字说明中的各项数据取数以及公开</w:t>
      </w:r>
      <w:r>
        <w:rPr>
          <w:rFonts w:hint="eastAsia" w:ascii="仿宋_GB2312" w:hAnsi="仿宋_GB2312" w:eastAsia="仿宋_GB2312" w:cs="仿宋_GB2312"/>
          <w:sz w:val="32"/>
          <w:szCs w:val="32"/>
        </w:rPr>
        <w:t>表格</w:t>
      </w:r>
      <w:r>
        <w:rPr>
          <w:rFonts w:hint="eastAsia" w:ascii="仿宋_GB2312" w:hAnsi="仿宋_GB2312" w:eastAsia="仿宋_GB2312" w:cs="仿宋_GB2312"/>
          <w:sz w:val="32"/>
          <w:szCs w:val="32"/>
          <w:lang w:eastAsia="zh-CN"/>
        </w:rPr>
        <w:t>中的各项数据取数之间存在</w:t>
      </w:r>
      <w:r>
        <w:rPr>
          <w:rFonts w:hint="eastAsia" w:ascii="仿宋_GB2312" w:hAnsi="仿宋_GB2312" w:eastAsia="仿宋_GB2312" w:cs="仿宋_GB2312"/>
          <w:sz w:val="32"/>
          <w:szCs w:val="32"/>
        </w:rPr>
        <w:t>0.01的尾数差异。</w:t>
      </w:r>
      <w:r>
        <w:rPr>
          <w:rFonts w:hint="eastAsia" w:ascii="仿宋_GB2312" w:hAnsi="仿宋_GB2312" w:eastAsia="仿宋_GB2312" w:cs="仿宋_GB2312"/>
          <w:sz w:val="32"/>
          <w:szCs w:val="32"/>
          <w:lang w:val="en-US" w:eastAsia="zh-CN"/>
        </w:rPr>
        <w:t>2、以下文字说明中，部分科目由于预算数为0，无法计算完成年初预算的百分比，故未描述“</w:t>
      </w:r>
      <w:r>
        <w:rPr>
          <w:rFonts w:hint="eastAsia" w:ascii="仿宋_GB2312" w:hAnsi="仿宋_GB2312" w:eastAsia="仿宋_GB2312" w:cs="仿宋_GB2312"/>
          <w:sz w:val="32"/>
          <w:szCs w:val="32"/>
        </w:rPr>
        <w:t>完成年初预算的XX%</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w:t>
      </w:r>
    </w:p>
    <w:p w14:paraId="16A3B231">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一、收入支出决算总体情况说明</w:t>
      </w:r>
    </w:p>
    <w:p w14:paraId="710DDC64">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年度收、支总计</w:t>
      </w:r>
      <w:r>
        <w:rPr>
          <w:rFonts w:hint="eastAsia" w:ascii="仿宋_GB2312" w:hAnsi="仿宋_GB2312" w:eastAsia="仿宋_GB2312" w:cs="仿宋_GB2312"/>
          <w:sz w:val="32"/>
          <w:szCs w:val="32"/>
          <w:lang w:val="en-US" w:eastAsia="zh-CN"/>
        </w:rPr>
        <w:t>4908.03</w:t>
      </w:r>
      <w:r>
        <w:rPr>
          <w:rFonts w:hint="eastAsia" w:ascii="仿宋_GB2312" w:hAnsi="仿宋_GB2312" w:eastAsia="仿宋_GB2312" w:cs="仿宋_GB2312"/>
          <w:sz w:val="32"/>
          <w:szCs w:val="32"/>
        </w:rPr>
        <w:t>万元。与上年相比，增加</w:t>
      </w:r>
      <w:r>
        <w:rPr>
          <w:rFonts w:hint="eastAsia" w:ascii="仿宋_GB2312" w:hAnsi="仿宋_GB2312" w:eastAsia="仿宋_GB2312" w:cs="仿宋_GB2312"/>
          <w:sz w:val="32"/>
          <w:szCs w:val="32"/>
          <w:lang w:val="en-US" w:eastAsia="zh-CN"/>
        </w:rPr>
        <w:t>742.18</w:t>
      </w:r>
      <w:r>
        <w:rPr>
          <w:rFonts w:hint="eastAsia" w:ascii="仿宋_GB2312" w:hAnsi="仿宋_GB2312" w:eastAsia="仿宋_GB2312" w:cs="仿宋_GB2312"/>
          <w:sz w:val="32"/>
          <w:szCs w:val="32"/>
        </w:rPr>
        <w:t>万元，增长</w:t>
      </w:r>
      <w:r>
        <w:rPr>
          <w:rFonts w:hint="eastAsia" w:ascii="仿宋_GB2312" w:hAnsi="仿宋_GB2312" w:eastAsia="仿宋_GB2312" w:cs="仿宋_GB2312"/>
          <w:sz w:val="32"/>
          <w:szCs w:val="32"/>
          <w:lang w:val="en-US" w:eastAsia="zh-CN"/>
        </w:rPr>
        <w:t>17.82</w:t>
      </w:r>
      <w:r>
        <w:rPr>
          <w:rFonts w:hint="eastAsia" w:ascii="仿宋_GB2312" w:hAnsi="仿宋_GB2312" w:eastAsia="仿宋_GB2312" w:cs="仿宋_GB2312"/>
          <w:sz w:val="32"/>
          <w:szCs w:val="32"/>
        </w:rPr>
        <w:t>%，主要是因为</w:t>
      </w:r>
      <w:r>
        <w:rPr>
          <w:rFonts w:hint="eastAsia" w:ascii="仿宋_GB2312" w:hAnsi="仿宋_GB2312" w:eastAsia="仿宋_GB2312" w:cs="仿宋_GB2312"/>
          <w:sz w:val="32"/>
          <w:szCs w:val="32"/>
          <w:lang w:val="en-US" w:eastAsia="zh-CN"/>
        </w:rPr>
        <w:t>增加教师保障性租赁住房项目430.4万、教学楼安全隐患整改项目250万。</w:t>
      </w:r>
    </w:p>
    <w:p w14:paraId="2FFF7D04">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二、收入决算情况说明</w:t>
      </w:r>
    </w:p>
    <w:p w14:paraId="2A1D29FE">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年度收入合计</w:t>
      </w:r>
      <w:r>
        <w:rPr>
          <w:rFonts w:hint="eastAsia" w:ascii="仿宋_GB2312" w:hAnsi="仿宋_GB2312" w:eastAsia="仿宋_GB2312" w:cs="仿宋_GB2312"/>
          <w:sz w:val="32"/>
          <w:szCs w:val="32"/>
          <w:lang w:val="en-US" w:eastAsia="zh-CN"/>
        </w:rPr>
        <w:t>4908.03</w:t>
      </w:r>
      <w:r>
        <w:rPr>
          <w:rFonts w:hint="eastAsia" w:ascii="仿宋_GB2312" w:hAnsi="仿宋_GB2312" w:eastAsia="仿宋_GB2312" w:cs="仿宋_GB2312"/>
          <w:sz w:val="32"/>
          <w:szCs w:val="32"/>
        </w:rPr>
        <w:t>万元，其中：财政拨款收入</w:t>
      </w:r>
      <w:r>
        <w:rPr>
          <w:rFonts w:hint="eastAsia" w:ascii="仿宋_GB2312" w:hAnsi="仿宋_GB2312" w:eastAsia="仿宋_GB2312" w:cs="仿宋_GB2312"/>
          <w:sz w:val="32"/>
          <w:szCs w:val="32"/>
          <w:lang w:val="en-US" w:eastAsia="zh-CN"/>
        </w:rPr>
        <w:t>3747.25</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76.35</w:t>
      </w:r>
      <w:r>
        <w:rPr>
          <w:rFonts w:hint="eastAsia" w:ascii="仿宋_GB2312" w:hAnsi="仿宋_GB2312" w:eastAsia="仿宋_GB2312" w:cs="仿宋_GB2312"/>
          <w:sz w:val="32"/>
          <w:szCs w:val="32"/>
        </w:rPr>
        <w:t>%；上级补助收入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%；事业收入</w:t>
      </w:r>
      <w:r>
        <w:rPr>
          <w:rFonts w:hint="eastAsia" w:ascii="仿宋_GB2312" w:hAnsi="仿宋_GB2312" w:eastAsia="仿宋_GB2312" w:cs="仿宋_GB2312"/>
          <w:sz w:val="32"/>
          <w:szCs w:val="32"/>
          <w:lang w:val="en-US" w:eastAsia="zh-CN"/>
        </w:rPr>
        <w:t>359.33</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7.32</w:t>
      </w:r>
      <w:r>
        <w:rPr>
          <w:rFonts w:hint="eastAsia" w:ascii="仿宋_GB2312" w:hAnsi="仿宋_GB2312" w:eastAsia="仿宋_GB2312" w:cs="仿宋_GB2312"/>
          <w:sz w:val="32"/>
          <w:szCs w:val="32"/>
        </w:rPr>
        <w:t>%；经营收入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%；附属单位上缴收入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%；其他收入</w:t>
      </w:r>
      <w:r>
        <w:rPr>
          <w:rFonts w:hint="eastAsia" w:ascii="仿宋_GB2312" w:hAnsi="仿宋_GB2312" w:eastAsia="仿宋_GB2312" w:cs="仿宋_GB2312"/>
          <w:sz w:val="32"/>
          <w:szCs w:val="32"/>
          <w:lang w:val="en-US" w:eastAsia="zh-CN"/>
        </w:rPr>
        <w:t>801.45</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16.33</w:t>
      </w:r>
      <w:r>
        <w:rPr>
          <w:rFonts w:hint="eastAsia" w:ascii="仿宋_GB2312" w:hAnsi="仿宋_GB2312" w:eastAsia="仿宋_GB2312" w:cs="仿宋_GB2312"/>
          <w:sz w:val="32"/>
          <w:szCs w:val="32"/>
        </w:rPr>
        <w:t>%。</w:t>
      </w:r>
    </w:p>
    <w:p w14:paraId="5F851148">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三、支出决算情况说明</w:t>
      </w:r>
    </w:p>
    <w:p w14:paraId="09C96D62">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年度支出合计</w:t>
      </w:r>
      <w:r>
        <w:rPr>
          <w:rFonts w:hint="eastAsia" w:ascii="仿宋_GB2312" w:hAnsi="仿宋_GB2312" w:eastAsia="仿宋_GB2312" w:cs="仿宋_GB2312"/>
          <w:sz w:val="32"/>
          <w:szCs w:val="32"/>
          <w:lang w:val="en-US" w:eastAsia="zh-CN"/>
        </w:rPr>
        <w:t>4908.03</w:t>
      </w:r>
      <w:r>
        <w:rPr>
          <w:rFonts w:hint="eastAsia" w:ascii="仿宋_GB2312" w:hAnsi="仿宋_GB2312" w:eastAsia="仿宋_GB2312" w:cs="仿宋_GB2312"/>
          <w:sz w:val="32"/>
          <w:szCs w:val="32"/>
        </w:rPr>
        <w:t>万元，其中：基本支出</w:t>
      </w:r>
      <w:r>
        <w:rPr>
          <w:rFonts w:hint="eastAsia" w:ascii="仿宋_GB2312" w:hAnsi="仿宋_GB2312" w:eastAsia="仿宋_GB2312" w:cs="仿宋_GB2312"/>
          <w:sz w:val="32"/>
          <w:szCs w:val="32"/>
          <w:lang w:val="en-US" w:eastAsia="zh-CN"/>
        </w:rPr>
        <w:t>3993.23</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81.36</w:t>
      </w:r>
      <w:r>
        <w:rPr>
          <w:rFonts w:hint="eastAsia" w:ascii="仿宋_GB2312" w:hAnsi="仿宋_GB2312" w:eastAsia="仿宋_GB2312" w:cs="仿宋_GB2312"/>
          <w:sz w:val="32"/>
          <w:szCs w:val="32"/>
        </w:rPr>
        <w:t>%；项目支出</w:t>
      </w:r>
      <w:r>
        <w:rPr>
          <w:rFonts w:hint="eastAsia" w:ascii="仿宋_GB2312" w:hAnsi="仿宋_GB2312" w:eastAsia="仿宋_GB2312" w:cs="仿宋_GB2312"/>
          <w:sz w:val="32"/>
          <w:szCs w:val="32"/>
          <w:lang w:val="en-US" w:eastAsia="zh-CN"/>
        </w:rPr>
        <w:t>914.8</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18.64</w:t>
      </w:r>
      <w:r>
        <w:rPr>
          <w:rFonts w:hint="eastAsia" w:ascii="仿宋_GB2312" w:hAnsi="仿宋_GB2312" w:eastAsia="仿宋_GB2312" w:cs="仿宋_GB2312"/>
          <w:sz w:val="32"/>
          <w:szCs w:val="32"/>
        </w:rPr>
        <w:t>%；上缴上级支出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%；经营支出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%；对附属单位补助支出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w:t>
      </w:r>
    </w:p>
    <w:p w14:paraId="19906C9D">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四、财政拨款收入支出决算总体情况说明</w:t>
      </w:r>
    </w:p>
    <w:p w14:paraId="3B62315B">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sz w:val="32"/>
          <w:szCs w:val="32"/>
        </w:rPr>
        <w:t xml:space="preserve">   </w:t>
      </w:r>
      <w:r>
        <w:rPr>
          <w:rFonts w:hint="eastAsia" w:ascii="仿宋_GB2312" w:hAnsi="仿宋_GB2312" w:eastAsia="仿宋_GB2312" w:cs="仿宋_GB2312"/>
          <w:sz w:val="32"/>
          <w:szCs w:val="32"/>
        </w:rPr>
        <w:t xml:space="preserve"> 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年度财政拨款收、支总计</w:t>
      </w:r>
      <w:r>
        <w:rPr>
          <w:rFonts w:hint="eastAsia" w:ascii="仿宋_GB2312" w:hAnsi="仿宋_GB2312" w:eastAsia="仿宋_GB2312" w:cs="仿宋_GB2312"/>
          <w:sz w:val="32"/>
          <w:szCs w:val="32"/>
          <w:lang w:val="en-US" w:eastAsia="zh-CN"/>
        </w:rPr>
        <w:t>3747.25</w:t>
      </w:r>
      <w:r>
        <w:rPr>
          <w:rFonts w:hint="eastAsia" w:ascii="仿宋_GB2312" w:hAnsi="仿宋_GB2312" w:eastAsia="仿宋_GB2312" w:cs="仿宋_GB2312"/>
          <w:sz w:val="32"/>
          <w:szCs w:val="32"/>
        </w:rPr>
        <w:t>万元，与上年相比，增加</w:t>
      </w:r>
      <w:r>
        <w:rPr>
          <w:rFonts w:hint="eastAsia" w:ascii="仿宋_GB2312" w:hAnsi="仿宋_GB2312" w:eastAsia="仿宋_GB2312" w:cs="仿宋_GB2312"/>
          <w:sz w:val="32"/>
          <w:szCs w:val="32"/>
          <w:lang w:val="en-US" w:eastAsia="zh-CN"/>
        </w:rPr>
        <w:t>777.91</w:t>
      </w:r>
      <w:r>
        <w:rPr>
          <w:rFonts w:hint="eastAsia" w:ascii="仿宋_GB2312" w:hAnsi="仿宋_GB2312" w:eastAsia="仿宋_GB2312" w:cs="仿宋_GB2312"/>
          <w:sz w:val="32"/>
          <w:szCs w:val="32"/>
        </w:rPr>
        <w:t>万元,增长</w:t>
      </w:r>
      <w:r>
        <w:rPr>
          <w:rFonts w:hint="eastAsia" w:ascii="仿宋_GB2312" w:hAnsi="仿宋_GB2312" w:eastAsia="仿宋_GB2312" w:cs="仿宋_GB2312"/>
          <w:sz w:val="32"/>
          <w:szCs w:val="32"/>
          <w:lang w:val="en-US" w:eastAsia="zh-CN"/>
        </w:rPr>
        <w:t>26.2</w:t>
      </w:r>
      <w:r>
        <w:rPr>
          <w:rFonts w:hint="eastAsia" w:ascii="仿宋_GB2312" w:hAnsi="仿宋_GB2312" w:eastAsia="仿宋_GB2312" w:cs="仿宋_GB2312"/>
          <w:sz w:val="32"/>
          <w:szCs w:val="32"/>
        </w:rPr>
        <w:t>%，主要是因为</w:t>
      </w:r>
      <w:r>
        <w:rPr>
          <w:rFonts w:hint="eastAsia" w:ascii="仿宋_GB2312" w:hAnsi="仿宋_GB2312" w:eastAsia="仿宋_GB2312" w:cs="仿宋_GB2312"/>
          <w:sz w:val="32"/>
          <w:szCs w:val="32"/>
          <w:lang w:val="en-US" w:eastAsia="zh-CN"/>
        </w:rPr>
        <w:t>增加教师保障性租赁住房项目及教学楼安全隐患整改项目。</w:t>
      </w:r>
    </w:p>
    <w:p w14:paraId="65AB4EE1">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五、一般公共预算财政拨款支出决算情况说明</w:t>
      </w:r>
    </w:p>
    <w:p w14:paraId="61C64664">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（一）一般公共预算财政拨款支出决算总体情况</w:t>
      </w:r>
    </w:p>
    <w:p w14:paraId="08186140">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年度财政拨款支出</w:t>
      </w:r>
      <w:r>
        <w:rPr>
          <w:rFonts w:hint="eastAsia" w:ascii="仿宋_GB2312" w:hAnsi="仿宋_GB2312" w:eastAsia="仿宋_GB2312" w:cs="仿宋_GB2312"/>
          <w:sz w:val="32"/>
          <w:szCs w:val="32"/>
          <w:lang w:val="en-US" w:eastAsia="zh-CN"/>
        </w:rPr>
        <w:t>3747.25</w:t>
      </w:r>
      <w:r>
        <w:rPr>
          <w:rFonts w:hint="eastAsia" w:ascii="仿宋_GB2312" w:hAnsi="仿宋_GB2312" w:eastAsia="仿宋_GB2312" w:cs="仿宋_GB2312"/>
          <w:sz w:val="32"/>
          <w:szCs w:val="32"/>
        </w:rPr>
        <w:t>万元，占本年支出合计的</w:t>
      </w:r>
      <w:r>
        <w:rPr>
          <w:rFonts w:hint="eastAsia" w:ascii="仿宋_GB2312" w:hAnsi="仿宋_GB2312" w:eastAsia="仿宋_GB2312" w:cs="仿宋_GB2312"/>
          <w:sz w:val="32"/>
          <w:szCs w:val="32"/>
          <w:lang w:val="en-US" w:eastAsia="zh-CN"/>
        </w:rPr>
        <w:t>76.35</w:t>
      </w:r>
      <w:r>
        <w:rPr>
          <w:rFonts w:hint="eastAsia" w:ascii="仿宋_GB2312" w:hAnsi="仿宋_GB2312" w:eastAsia="仿宋_GB2312" w:cs="仿宋_GB2312"/>
          <w:sz w:val="32"/>
          <w:szCs w:val="32"/>
        </w:rPr>
        <w:t>%，与上年相比，财政拨款支出增加</w:t>
      </w:r>
      <w:r>
        <w:rPr>
          <w:rFonts w:hint="eastAsia" w:ascii="仿宋_GB2312" w:hAnsi="仿宋_GB2312" w:eastAsia="仿宋_GB2312" w:cs="仿宋_GB2312"/>
          <w:sz w:val="32"/>
          <w:szCs w:val="32"/>
          <w:lang w:val="en-US" w:eastAsia="zh-CN"/>
        </w:rPr>
        <w:t>777.91</w:t>
      </w:r>
      <w:r>
        <w:rPr>
          <w:rFonts w:hint="eastAsia" w:ascii="仿宋_GB2312" w:hAnsi="仿宋_GB2312" w:eastAsia="仿宋_GB2312" w:cs="仿宋_GB2312"/>
          <w:sz w:val="32"/>
          <w:szCs w:val="32"/>
        </w:rPr>
        <w:t>万元，增长</w:t>
      </w:r>
      <w:r>
        <w:rPr>
          <w:rFonts w:hint="eastAsia" w:ascii="仿宋_GB2312" w:hAnsi="仿宋_GB2312" w:eastAsia="仿宋_GB2312" w:cs="仿宋_GB2312"/>
          <w:sz w:val="32"/>
          <w:szCs w:val="32"/>
          <w:lang w:val="en-US" w:eastAsia="zh-CN"/>
        </w:rPr>
        <w:t>26.2</w:t>
      </w:r>
      <w:r>
        <w:rPr>
          <w:rFonts w:hint="eastAsia" w:ascii="仿宋_GB2312" w:hAnsi="仿宋_GB2312" w:eastAsia="仿宋_GB2312" w:cs="仿宋_GB2312"/>
          <w:sz w:val="32"/>
          <w:szCs w:val="32"/>
        </w:rPr>
        <w:t>%，主要是因为</w:t>
      </w:r>
      <w:r>
        <w:rPr>
          <w:rFonts w:hint="eastAsia" w:ascii="仿宋_GB2312" w:hAnsi="仿宋_GB2312" w:eastAsia="仿宋_GB2312" w:cs="仿宋_GB2312"/>
          <w:sz w:val="32"/>
          <w:szCs w:val="32"/>
          <w:lang w:val="en-US" w:eastAsia="zh-CN"/>
        </w:rPr>
        <w:t>增加教师保障性租赁住房项目及教学楼安全隐患整改项目。</w:t>
      </w:r>
    </w:p>
    <w:p w14:paraId="48AC9A3A">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（二）一般公共预算财政拨款支出决算结构情况</w:t>
      </w:r>
    </w:p>
    <w:p w14:paraId="3C2CD278">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年度财政拨款支出</w:t>
      </w:r>
      <w:r>
        <w:rPr>
          <w:rFonts w:hint="eastAsia" w:ascii="仿宋_GB2312" w:hAnsi="仿宋_GB2312" w:eastAsia="仿宋_GB2312" w:cs="仿宋_GB2312"/>
          <w:sz w:val="32"/>
          <w:szCs w:val="32"/>
          <w:lang w:val="en-US" w:eastAsia="zh-CN"/>
        </w:rPr>
        <w:t>3747.25</w:t>
      </w:r>
      <w:r>
        <w:rPr>
          <w:rFonts w:hint="eastAsia" w:ascii="仿宋_GB2312" w:hAnsi="仿宋_GB2312" w:eastAsia="仿宋_GB2312" w:cs="仿宋_GB2312"/>
          <w:sz w:val="32"/>
          <w:szCs w:val="32"/>
        </w:rPr>
        <w:t>万元，主要用于以下方面：教育（类）支出</w:t>
      </w:r>
      <w:r>
        <w:rPr>
          <w:rFonts w:hint="eastAsia" w:ascii="仿宋_GB2312" w:hAnsi="仿宋_GB2312" w:eastAsia="仿宋_GB2312" w:cs="仿宋_GB2312"/>
          <w:sz w:val="32"/>
          <w:szCs w:val="32"/>
          <w:lang w:val="en-US" w:eastAsia="zh-CN"/>
        </w:rPr>
        <w:t>3673.91</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98.04</w:t>
      </w:r>
      <w:r>
        <w:rPr>
          <w:rFonts w:hint="eastAsia" w:ascii="仿宋_GB2312" w:hAnsi="仿宋_GB2312" w:eastAsia="仿宋_GB2312" w:cs="仿宋_GB2312"/>
          <w:sz w:val="32"/>
          <w:szCs w:val="32"/>
        </w:rPr>
        <w:t>%;社会保障和就业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73.34万，</w:t>
      </w:r>
      <w:r>
        <w:rPr>
          <w:rFonts w:hint="eastAsia" w:ascii="仿宋_GB2312" w:hAnsi="仿宋_GB2312" w:eastAsia="仿宋_GB2312" w:cs="仿宋_GB2312"/>
          <w:sz w:val="32"/>
          <w:szCs w:val="32"/>
        </w:rPr>
        <w:t>占</w:t>
      </w:r>
      <w:r>
        <w:rPr>
          <w:rFonts w:hint="eastAsia" w:ascii="仿宋_GB2312" w:hAnsi="仿宋_GB2312" w:eastAsia="仿宋_GB2312" w:cs="仿宋_GB2312"/>
          <w:sz w:val="32"/>
          <w:szCs w:val="32"/>
          <w:lang w:val="en-US" w:eastAsia="zh-CN"/>
        </w:rPr>
        <w:t>1.96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p>
    <w:p w14:paraId="6F7F6188">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（三）一般公共预算财政拨款支出决算具体情况</w:t>
      </w:r>
    </w:p>
    <w:p w14:paraId="2FB6010E">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年度财政拨款支出年初预算数为</w:t>
      </w:r>
      <w:r>
        <w:rPr>
          <w:rFonts w:hint="eastAsia" w:ascii="仿宋_GB2312" w:hAnsi="仿宋_GB2312" w:eastAsia="仿宋_GB2312" w:cs="仿宋_GB2312"/>
          <w:sz w:val="32"/>
          <w:szCs w:val="32"/>
          <w:lang w:val="en-US" w:eastAsia="zh-CN"/>
        </w:rPr>
        <w:t>2695.44</w:t>
      </w:r>
      <w:r>
        <w:rPr>
          <w:rFonts w:hint="eastAsia" w:ascii="仿宋_GB2312" w:hAnsi="仿宋_GB2312" w:eastAsia="仿宋_GB2312" w:cs="仿宋_GB2312"/>
          <w:sz w:val="32"/>
          <w:szCs w:val="32"/>
        </w:rPr>
        <w:t>万元，支出决算数为</w:t>
      </w:r>
      <w:r>
        <w:rPr>
          <w:rFonts w:hint="eastAsia" w:ascii="仿宋_GB2312" w:hAnsi="仿宋_GB2312" w:eastAsia="仿宋_GB2312" w:cs="仿宋_GB2312"/>
          <w:sz w:val="32"/>
          <w:szCs w:val="32"/>
          <w:lang w:val="en-US" w:eastAsia="zh-CN"/>
        </w:rPr>
        <w:t>3747.25</w:t>
      </w:r>
      <w:r>
        <w:rPr>
          <w:rFonts w:hint="eastAsia" w:ascii="仿宋_GB2312" w:hAnsi="仿宋_GB2312" w:eastAsia="仿宋_GB2312" w:cs="仿宋_GB2312"/>
          <w:sz w:val="32"/>
          <w:szCs w:val="32"/>
        </w:rPr>
        <w:t>万元，完成年初预算的</w:t>
      </w:r>
      <w:r>
        <w:rPr>
          <w:rFonts w:hint="eastAsia" w:ascii="仿宋_GB2312" w:hAnsi="仿宋_GB2312" w:eastAsia="仿宋_GB2312" w:cs="仿宋_GB2312"/>
          <w:sz w:val="32"/>
          <w:szCs w:val="32"/>
          <w:lang w:val="en-US" w:eastAsia="zh-CN"/>
        </w:rPr>
        <w:t>139.02</w:t>
      </w:r>
      <w:r>
        <w:rPr>
          <w:rFonts w:hint="eastAsia" w:ascii="仿宋_GB2312" w:hAnsi="仿宋_GB2312" w:eastAsia="仿宋_GB2312" w:cs="仿宋_GB2312"/>
          <w:sz w:val="32"/>
          <w:szCs w:val="32"/>
        </w:rPr>
        <w:t>%，其中：</w:t>
      </w:r>
    </w:p>
    <w:p w14:paraId="708FB7F8">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教育支出</w:t>
      </w:r>
      <w:r>
        <w:rPr>
          <w:rFonts w:hint="eastAsia" w:ascii="仿宋_GB2312" w:hAnsi="仿宋_GB2312" w:eastAsia="仿宋_GB2312" w:cs="仿宋_GB2312"/>
          <w:sz w:val="32"/>
          <w:szCs w:val="32"/>
        </w:rPr>
        <w:t>（类）教育管理事务（款）行政运行（项）。</w:t>
      </w:r>
    </w:p>
    <w:p w14:paraId="2C3C1742">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万元，支出决算为161.96万元，决算数大于年初预算数的主要原因是：</w:t>
      </w:r>
      <w:r>
        <w:rPr>
          <w:rFonts w:hint="eastAsia" w:ascii="仿宋_GB2312" w:hAnsi="仿宋_GB2312" w:eastAsia="仿宋_GB2312" w:cs="仿宋_GB2312"/>
          <w:sz w:val="32"/>
          <w:szCs w:val="32"/>
          <w:lang w:val="en-US" w:eastAsia="zh-CN"/>
        </w:rPr>
        <w:t>年中追加奖金。</w:t>
      </w:r>
    </w:p>
    <w:p w14:paraId="011A379F">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教育支出</w:t>
      </w:r>
      <w:r>
        <w:rPr>
          <w:rFonts w:hint="eastAsia" w:ascii="仿宋_GB2312" w:hAnsi="仿宋_GB2312" w:eastAsia="仿宋_GB2312" w:cs="仿宋_GB2312"/>
          <w:sz w:val="32"/>
          <w:szCs w:val="32"/>
        </w:rPr>
        <w:t>（类）教育管理事务（款）一般行政管理事务（项）。</w:t>
      </w:r>
    </w:p>
    <w:p w14:paraId="2C6A3D71">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万元，支出决算为13.73万元，决算数大于年初预算数的主要原因是：</w:t>
      </w:r>
      <w:r>
        <w:rPr>
          <w:rFonts w:hint="eastAsia" w:ascii="仿宋_GB2312" w:hAnsi="仿宋_GB2312" w:eastAsia="仿宋_GB2312" w:cs="仿宋_GB2312"/>
          <w:sz w:val="32"/>
          <w:szCs w:val="32"/>
          <w:lang w:val="en-US" w:eastAsia="zh-CN"/>
        </w:rPr>
        <w:t>追加退休人员年终一个月工资奖。</w:t>
      </w:r>
    </w:p>
    <w:p w14:paraId="15574EE9">
      <w:pPr>
        <w:pStyle w:val="14"/>
        <w:keepNext w:val="0"/>
        <w:keepLines w:val="0"/>
        <w:pageBreakBefore w:val="0"/>
        <w:widowControl w:val="0"/>
        <w:numPr>
          <w:ilvl w:val="0"/>
          <w:numId w:val="2"/>
        </w:numPr>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教育支出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普通教育</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高中教育</w:t>
      </w:r>
      <w:r>
        <w:rPr>
          <w:rFonts w:hint="eastAsia" w:ascii="仿宋_GB2312" w:hAnsi="仿宋_GB2312" w:eastAsia="仿宋_GB2312" w:cs="仿宋_GB2312"/>
          <w:sz w:val="32"/>
          <w:szCs w:val="32"/>
        </w:rPr>
        <w:t>（项）。</w:t>
      </w:r>
    </w:p>
    <w:p w14:paraId="71774ACB">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2671.45</w:t>
      </w:r>
      <w:r>
        <w:rPr>
          <w:rFonts w:hint="eastAsia" w:ascii="仿宋_GB2312" w:hAnsi="仿宋_GB2312" w:eastAsia="仿宋_GB2312" w:cs="仿宋_GB2312"/>
          <w:sz w:val="32"/>
          <w:szCs w:val="32"/>
        </w:rPr>
        <w:t>万元，支出决算为2656.52万元，完成年初预算的</w:t>
      </w:r>
      <w:r>
        <w:rPr>
          <w:rFonts w:hint="eastAsia" w:ascii="仿宋_GB2312" w:hAnsi="仿宋_GB2312" w:eastAsia="仿宋_GB2312" w:cs="仿宋_GB2312"/>
          <w:sz w:val="32"/>
          <w:szCs w:val="32"/>
          <w:lang w:val="en-US" w:eastAsia="zh-CN"/>
        </w:rPr>
        <w:t>99.44</w:t>
      </w:r>
      <w:r>
        <w:rPr>
          <w:rFonts w:hint="eastAsia" w:ascii="仿宋_GB2312" w:hAnsi="仿宋_GB2312" w:eastAsia="仿宋_GB2312" w:cs="仿宋_GB2312"/>
          <w:sz w:val="32"/>
          <w:szCs w:val="32"/>
        </w:rPr>
        <w:t>%，决算数小于年初预算数的主要原因是：</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3</w:t>
      </w:r>
      <w:r>
        <w:rPr>
          <w:rFonts w:hint="eastAsia" w:ascii="Times New Roman" w:hAnsi="Times New Roman" w:eastAsia="仿宋_GB2312"/>
          <w:sz w:val="32"/>
          <w:szCs w:val="32"/>
        </w:rPr>
        <w:t>年部分绩效奖指标下在其他功能科目中。</w:t>
      </w:r>
    </w:p>
    <w:p w14:paraId="389E139A">
      <w:pPr>
        <w:pStyle w:val="14"/>
        <w:keepNext w:val="0"/>
        <w:keepLines w:val="0"/>
        <w:pageBreakBefore w:val="0"/>
        <w:widowControl w:val="0"/>
        <w:numPr>
          <w:ilvl w:val="0"/>
          <w:numId w:val="2"/>
        </w:numPr>
        <w:kinsoku/>
        <w:wordWrap/>
        <w:overflowPunct/>
        <w:topLinePunct w:val="0"/>
        <w:bidi w:val="0"/>
        <w:snapToGrid/>
        <w:spacing w:line="600" w:lineRule="exact"/>
        <w:ind w:left="0" w:leftChars="0"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教育支出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普通教育</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其他普通教育支出</w:t>
      </w:r>
      <w:r>
        <w:rPr>
          <w:rFonts w:hint="eastAsia" w:ascii="仿宋_GB2312" w:hAnsi="仿宋_GB2312" w:eastAsia="仿宋_GB2312" w:cs="仿宋_GB2312"/>
          <w:sz w:val="32"/>
          <w:szCs w:val="32"/>
        </w:rPr>
        <w:t>（项）。</w:t>
      </w:r>
    </w:p>
    <w:p w14:paraId="0842DF00">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万元，支出决算为72.5万元，决算数大于年初预算数的主要原因是：</w:t>
      </w:r>
      <w:r>
        <w:rPr>
          <w:rFonts w:hint="eastAsia" w:ascii="仿宋_GB2312" w:hAnsi="仿宋_GB2312" w:eastAsia="仿宋_GB2312" w:cs="仿宋_GB2312"/>
          <w:sz w:val="32"/>
          <w:szCs w:val="32"/>
          <w:lang w:val="en-US" w:eastAsia="zh-CN"/>
        </w:rPr>
        <w:t>2023年人员经费补差。</w:t>
      </w:r>
    </w:p>
    <w:p w14:paraId="333B198A">
      <w:pPr>
        <w:pStyle w:val="14"/>
        <w:keepNext w:val="0"/>
        <w:keepLines w:val="0"/>
        <w:pageBreakBefore w:val="0"/>
        <w:widowControl w:val="0"/>
        <w:numPr>
          <w:ilvl w:val="0"/>
          <w:numId w:val="2"/>
        </w:numPr>
        <w:kinsoku/>
        <w:wordWrap/>
        <w:overflowPunct/>
        <w:topLinePunct w:val="0"/>
        <w:bidi w:val="0"/>
        <w:snapToGrid/>
        <w:spacing w:line="600" w:lineRule="exact"/>
        <w:ind w:left="0" w:leftChars="0" w:firstLine="800" w:firstLineChars="2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教育支出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 xml:space="preserve"> 教育费附加安排的支出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其他教育费附加安排的支出（项）。</w:t>
      </w:r>
    </w:p>
    <w:p w14:paraId="254F0F50">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万元，支出决算为769.2万元，完成年初预算的</w:t>
      </w:r>
      <w:r>
        <w:rPr>
          <w:rFonts w:hint="eastAsia" w:ascii="仿宋_GB2312" w:hAnsi="仿宋_GB2312" w:eastAsia="仿宋_GB2312" w:cs="仿宋_GB2312"/>
          <w:sz w:val="32"/>
          <w:szCs w:val="32"/>
          <w:lang w:val="en-US" w:eastAsia="zh-CN"/>
        </w:rPr>
        <w:t>3205</w:t>
      </w:r>
      <w:r>
        <w:rPr>
          <w:rFonts w:hint="eastAsia" w:ascii="仿宋_GB2312" w:hAnsi="仿宋_GB2312" w:eastAsia="仿宋_GB2312" w:cs="仿宋_GB2312"/>
          <w:sz w:val="32"/>
          <w:szCs w:val="32"/>
        </w:rPr>
        <w:t>%，决算数大于年初预算数的主要原因是：</w:t>
      </w:r>
      <w:r>
        <w:rPr>
          <w:rFonts w:hint="eastAsia" w:ascii="仿宋_GB2312" w:hAnsi="仿宋_GB2312" w:eastAsia="仿宋_GB2312" w:cs="仿宋_GB2312"/>
          <w:sz w:val="32"/>
          <w:szCs w:val="32"/>
          <w:lang w:val="en-US" w:eastAsia="zh-CN"/>
        </w:rPr>
        <w:t>增加教师保障房项目、教学楼（至善楼、至诚楼）安全隐患整改项目以及追加生均经费。</w:t>
      </w:r>
    </w:p>
    <w:p w14:paraId="6D10238F">
      <w:pPr>
        <w:pStyle w:val="14"/>
        <w:keepNext w:val="0"/>
        <w:keepLines w:val="0"/>
        <w:pageBreakBefore w:val="0"/>
        <w:widowControl w:val="0"/>
        <w:numPr>
          <w:ilvl w:val="0"/>
          <w:numId w:val="2"/>
        </w:numPr>
        <w:kinsoku/>
        <w:wordWrap/>
        <w:overflowPunct/>
        <w:topLinePunct w:val="0"/>
        <w:bidi w:val="0"/>
        <w:snapToGrid/>
        <w:spacing w:line="600" w:lineRule="exact"/>
        <w:ind w:left="0" w:leftChars="0" w:firstLine="800" w:firstLineChars="2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 xml:space="preserve"> 行政事业单位养老支出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事业单位离退休（项）。</w:t>
      </w:r>
    </w:p>
    <w:p w14:paraId="78A5EF46">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万元，支出决算为47.09万元，决算数大于年初预算数的主要原因是：</w:t>
      </w:r>
      <w:r>
        <w:rPr>
          <w:rFonts w:hint="eastAsia" w:ascii="仿宋_GB2312" w:hAnsi="仿宋_GB2312" w:eastAsia="仿宋_GB2312" w:cs="仿宋_GB2312"/>
          <w:sz w:val="32"/>
          <w:szCs w:val="32"/>
          <w:lang w:val="en-US" w:eastAsia="zh-CN"/>
        </w:rPr>
        <w:t>年中追加退休人员综合绩效奖和平安建设奖。</w:t>
      </w:r>
    </w:p>
    <w:p w14:paraId="21DE6F75">
      <w:pPr>
        <w:pStyle w:val="14"/>
        <w:keepNext w:val="0"/>
        <w:keepLines w:val="0"/>
        <w:pageBreakBefore w:val="0"/>
        <w:widowControl w:val="0"/>
        <w:numPr>
          <w:ilvl w:val="0"/>
          <w:numId w:val="2"/>
        </w:numPr>
        <w:kinsoku/>
        <w:wordWrap/>
        <w:overflowPunct/>
        <w:topLinePunct w:val="0"/>
        <w:bidi w:val="0"/>
        <w:snapToGrid/>
        <w:spacing w:line="600" w:lineRule="exact"/>
        <w:ind w:left="0" w:leftChars="0" w:firstLine="800" w:firstLineChars="2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 xml:space="preserve"> 抚恤</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其他优抚支出（项）。</w:t>
      </w:r>
    </w:p>
    <w:p w14:paraId="79D49C3D">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万元，支出决算为0.83万元，决算数大于年初预算数的主要原因是：</w:t>
      </w:r>
      <w:r>
        <w:rPr>
          <w:rFonts w:hint="eastAsia" w:ascii="Times New Roman" w:hAnsi="Times New Roman" w:eastAsia="仿宋_GB2312"/>
          <w:sz w:val="32"/>
          <w:szCs w:val="32"/>
        </w:rPr>
        <w:t>年中追加抚恤金。</w:t>
      </w:r>
    </w:p>
    <w:p w14:paraId="44924834">
      <w:pPr>
        <w:pStyle w:val="14"/>
        <w:keepNext w:val="0"/>
        <w:keepLines w:val="0"/>
        <w:pageBreakBefore w:val="0"/>
        <w:widowControl w:val="0"/>
        <w:numPr>
          <w:ilvl w:val="0"/>
          <w:numId w:val="2"/>
        </w:numPr>
        <w:kinsoku/>
        <w:wordWrap/>
        <w:overflowPunct/>
        <w:topLinePunct w:val="0"/>
        <w:bidi w:val="0"/>
        <w:snapToGrid/>
        <w:spacing w:line="600" w:lineRule="exact"/>
        <w:ind w:left="0" w:leftChars="0" w:firstLine="800" w:firstLineChars="2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 xml:space="preserve"> 其他社会保障和就业支出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其他社会保障和就业支出（项）。</w:t>
      </w:r>
    </w:p>
    <w:p w14:paraId="5D291C1D">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万元，支出决算为25.42万元，决算数大于年初预算数的主要原因是：</w:t>
      </w:r>
      <w:r>
        <w:rPr>
          <w:rFonts w:hint="eastAsia" w:ascii="仿宋_GB2312" w:hAnsi="仿宋_GB2312" w:eastAsia="仿宋_GB2312" w:cs="仿宋_GB2312"/>
          <w:sz w:val="32"/>
          <w:szCs w:val="32"/>
          <w:lang w:val="en-US" w:eastAsia="zh-CN"/>
        </w:rPr>
        <w:t>年终人员经费补差。</w:t>
      </w:r>
    </w:p>
    <w:p w14:paraId="61C3BDA8">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六、一般公共预算财政拨款基本支出决算情况说明</w:t>
      </w:r>
    </w:p>
    <w:p w14:paraId="79C3A922">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年度财政拨款基本支出</w:t>
      </w:r>
      <w:r>
        <w:rPr>
          <w:rFonts w:hint="eastAsia" w:ascii="仿宋_GB2312" w:hAnsi="仿宋_GB2312" w:eastAsia="仿宋_GB2312" w:cs="仿宋_GB2312"/>
          <w:sz w:val="32"/>
          <w:szCs w:val="32"/>
          <w:lang w:val="en-US" w:eastAsia="zh-CN"/>
        </w:rPr>
        <w:t>2964.35</w:t>
      </w:r>
      <w:r>
        <w:rPr>
          <w:rFonts w:hint="eastAsia" w:ascii="仿宋_GB2312" w:hAnsi="仿宋_GB2312" w:eastAsia="仿宋_GB2312" w:cs="仿宋_GB2312"/>
          <w:sz w:val="32"/>
          <w:szCs w:val="32"/>
        </w:rPr>
        <w:t>万元，其中：</w:t>
      </w:r>
    </w:p>
    <w:p w14:paraId="1A2571AF">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rPr>
      </w:pPr>
      <w:r>
        <w:rPr>
          <w:rFonts w:hint="eastAsia" w:ascii="仿宋_GB2312" w:hAnsi="仿宋_GB2312" w:eastAsia="仿宋_GB2312" w:cs="仿宋_GB2312"/>
          <w:b/>
          <w:bCs/>
          <w:sz w:val="32"/>
          <w:szCs w:val="32"/>
        </w:rPr>
        <w:t>人员经费</w:t>
      </w:r>
      <w:r>
        <w:rPr>
          <w:rFonts w:hint="eastAsia" w:ascii="仿宋_GB2312" w:hAnsi="仿宋_GB2312" w:eastAsia="仿宋_GB2312" w:cs="仿宋_GB2312"/>
          <w:sz w:val="32"/>
          <w:szCs w:val="32"/>
          <w:lang w:val="en-US" w:eastAsia="zh-CN"/>
        </w:rPr>
        <w:t>2852.57</w:t>
      </w:r>
      <w:r>
        <w:rPr>
          <w:rFonts w:hint="eastAsia" w:ascii="仿宋_GB2312" w:hAnsi="仿宋_GB2312" w:eastAsia="仿宋_GB2312" w:cs="仿宋_GB2312"/>
          <w:sz w:val="32"/>
          <w:szCs w:val="32"/>
        </w:rPr>
        <w:t>万元，占基本支出的</w:t>
      </w:r>
      <w:r>
        <w:rPr>
          <w:rFonts w:hint="eastAsia" w:ascii="仿宋_GB2312" w:hAnsi="仿宋_GB2312" w:eastAsia="仿宋_GB2312" w:cs="仿宋_GB2312"/>
          <w:sz w:val="32"/>
          <w:szCs w:val="32"/>
          <w:lang w:val="en-US" w:eastAsia="zh-CN"/>
        </w:rPr>
        <w:t>96.23</w:t>
      </w:r>
      <w:r>
        <w:rPr>
          <w:rFonts w:hint="eastAsia" w:ascii="仿宋_GB2312" w:hAnsi="仿宋_GB2312" w:eastAsia="仿宋_GB2312" w:cs="仿宋_GB2312"/>
          <w:sz w:val="32"/>
          <w:szCs w:val="32"/>
        </w:rPr>
        <w:t>%,主要包括</w:t>
      </w:r>
      <w:r>
        <w:rPr>
          <w:rFonts w:hint="eastAsia" w:ascii="Times New Roman" w:hAnsi="Times New Roman" w:eastAsia="仿宋_GB2312"/>
          <w:sz w:val="32"/>
          <w:szCs w:val="32"/>
        </w:rPr>
        <w:t>基本工资、津贴补贴、奖金、伙食补助费、绩效工资、机关事业单位基本养老保险缴费、职业年金缴费、住房公积金</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职工基本医疗保险缴费、其他社会保障缴费、其他工资福利支出、退休费、医疗费补助</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其他对个人和家庭的补助。</w:t>
      </w:r>
    </w:p>
    <w:p w14:paraId="167B8487">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i/>
          <w:color w:val="FF0000"/>
          <w:sz w:val="32"/>
          <w:szCs w:val="32"/>
        </w:rPr>
      </w:pPr>
      <w:r>
        <w:rPr>
          <w:rFonts w:hint="eastAsia" w:ascii="仿宋_GB2312" w:hAnsi="仿宋_GB2312" w:eastAsia="仿宋_GB2312" w:cs="仿宋_GB2312"/>
          <w:b/>
          <w:bCs/>
          <w:sz w:val="32"/>
          <w:szCs w:val="32"/>
        </w:rPr>
        <w:t>公用经费</w:t>
      </w:r>
      <w:r>
        <w:rPr>
          <w:rFonts w:hint="eastAsia" w:ascii="仿宋_GB2312" w:hAnsi="仿宋_GB2312" w:eastAsia="仿宋_GB2312" w:cs="仿宋_GB2312"/>
          <w:sz w:val="32"/>
          <w:szCs w:val="32"/>
          <w:lang w:val="en-US" w:eastAsia="zh-CN"/>
        </w:rPr>
        <w:t>111.78</w:t>
      </w:r>
      <w:r>
        <w:rPr>
          <w:rFonts w:hint="eastAsia" w:ascii="仿宋_GB2312" w:hAnsi="仿宋_GB2312" w:eastAsia="仿宋_GB2312" w:cs="仿宋_GB2312"/>
          <w:sz w:val="32"/>
          <w:szCs w:val="32"/>
        </w:rPr>
        <w:t>万元，占基本支出的</w:t>
      </w:r>
      <w:r>
        <w:rPr>
          <w:rFonts w:hint="eastAsia" w:ascii="仿宋_GB2312" w:hAnsi="仿宋_GB2312" w:eastAsia="仿宋_GB2312" w:cs="仿宋_GB2312"/>
          <w:sz w:val="32"/>
          <w:szCs w:val="32"/>
          <w:lang w:val="en-US" w:eastAsia="zh-CN"/>
        </w:rPr>
        <w:t>3.77</w:t>
      </w:r>
      <w:r>
        <w:rPr>
          <w:rFonts w:hint="eastAsia" w:ascii="仿宋_GB2312" w:hAnsi="仿宋_GB2312" w:eastAsia="仿宋_GB2312" w:cs="仿宋_GB2312"/>
          <w:sz w:val="32"/>
          <w:szCs w:val="32"/>
        </w:rPr>
        <w:t>%，主要包括</w:t>
      </w:r>
      <w:r>
        <w:rPr>
          <w:rFonts w:hint="eastAsia" w:ascii="Times New Roman" w:hAnsi="Times New Roman" w:eastAsia="仿宋_GB2312"/>
          <w:sz w:val="32"/>
          <w:szCs w:val="32"/>
        </w:rPr>
        <w:t>办公费、</w:t>
      </w:r>
      <w:r>
        <w:rPr>
          <w:rFonts w:hint="eastAsia" w:ascii="Times New Roman" w:hAnsi="Times New Roman" w:eastAsia="仿宋_GB2312"/>
          <w:sz w:val="32"/>
          <w:szCs w:val="32"/>
          <w:lang w:val="en-US" w:eastAsia="zh-CN"/>
        </w:rPr>
        <w:t>印刷费、</w:t>
      </w:r>
      <w:r>
        <w:rPr>
          <w:rFonts w:hint="eastAsia" w:ascii="Times New Roman" w:hAnsi="Times New Roman" w:eastAsia="仿宋_GB2312"/>
          <w:sz w:val="32"/>
          <w:szCs w:val="32"/>
        </w:rPr>
        <w:t>电费、</w:t>
      </w:r>
      <w:r>
        <w:rPr>
          <w:rFonts w:hint="eastAsia" w:ascii="Times New Roman" w:hAnsi="Times New Roman" w:eastAsia="仿宋_GB2312"/>
          <w:sz w:val="32"/>
          <w:szCs w:val="32"/>
          <w:lang w:val="en-US" w:eastAsia="zh-CN"/>
        </w:rPr>
        <w:t>邮电费、物业管理费、</w:t>
      </w:r>
      <w:r>
        <w:rPr>
          <w:rFonts w:hint="eastAsia" w:ascii="Times New Roman" w:hAnsi="Times New Roman" w:eastAsia="仿宋_GB2312"/>
          <w:sz w:val="32"/>
          <w:szCs w:val="32"/>
        </w:rPr>
        <w:t>培训费、劳务费、工会经费、</w:t>
      </w:r>
      <w:r>
        <w:rPr>
          <w:rFonts w:hint="eastAsia" w:ascii="Times New Roman" w:hAnsi="Times New Roman" w:eastAsia="仿宋_GB2312"/>
          <w:sz w:val="32"/>
          <w:szCs w:val="32"/>
          <w:lang w:val="en-US" w:eastAsia="zh-CN"/>
        </w:rPr>
        <w:t>福利费、</w:t>
      </w:r>
      <w:r>
        <w:rPr>
          <w:rFonts w:hint="eastAsia" w:ascii="Times New Roman" w:hAnsi="Times New Roman" w:eastAsia="仿宋_GB2312"/>
          <w:sz w:val="32"/>
          <w:szCs w:val="32"/>
        </w:rPr>
        <w:t>其他交通费用、其他商品和服务支出。</w:t>
      </w:r>
    </w:p>
    <w:p w14:paraId="53046742">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七、政府性基金预算收入支出决算情况</w:t>
      </w:r>
    </w:p>
    <w:p w14:paraId="66EC63C7">
      <w:pPr>
        <w:keepNext w:val="0"/>
        <w:keepLines w:val="0"/>
        <w:pageBreakBefore w:val="0"/>
        <w:widowControl w:val="0"/>
        <w:kinsoku/>
        <w:wordWrap/>
        <w:overflowPunct/>
        <w:topLinePunct w:val="0"/>
        <w:autoSpaceDE w:val="0"/>
        <w:autoSpaceDN w:val="0"/>
        <w:bidi w:val="0"/>
        <w:adjustRightInd w:val="0"/>
        <w:snapToGrid/>
        <w:spacing w:line="600" w:lineRule="exact"/>
        <w:textAlignment w:val="auto"/>
        <w:rPr>
          <w:rFonts w:hint="eastAsia" w:ascii="黑体" w:hAnsi="黑体" w:eastAsia="黑体" w:cs="黑体"/>
          <w:b w:val="0"/>
          <w:bCs/>
          <w:color w:val="000000"/>
          <w:kern w:val="0"/>
          <w:sz w:val="32"/>
          <w:szCs w:val="32"/>
          <w:highlight w:val="none"/>
          <w:lang w:val="en-US" w:eastAsia="zh-CN" w:bidi="ar-SA"/>
        </w:rPr>
      </w:pPr>
      <w:r>
        <w:rPr>
          <w:rFonts w:hint="eastAsia" w:ascii="Times New Roman" w:hAnsi="Times New Roman" w:eastAsia="仿宋_GB2312"/>
          <w:sz w:val="32"/>
          <w:szCs w:val="32"/>
        </w:rPr>
        <w:t xml:space="preserve">     </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年度政府性基金预算财政拨款收入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万元；年初结转和结余</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万元，其中基本支出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万元，项目支出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万元；年末结转和结余</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p>
    <w:p w14:paraId="2CFCD3E5">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八、国有资本经营预算财政拨款支出决算情况</w:t>
      </w:r>
    </w:p>
    <w:p w14:paraId="5164E677">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2023年度国有资本经营预算财政拨款收入0万元；年初结转和结余0万；支出0万元，其中：基本支出0万元，项目支出0万元；年末结转和结余0万元。</w:t>
      </w:r>
    </w:p>
    <w:p w14:paraId="791A8476">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hAnsi="黑体" w:cs="黑体"/>
          <w:b w:val="0"/>
          <w:bCs/>
          <w:sz w:val="32"/>
          <w:szCs w:val="32"/>
          <w:lang w:eastAsia="zh-CN"/>
        </w:rPr>
        <w:t>九、</w:t>
      </w:r>
      <w:r>
        <w:rPr>
          <w:rFonts w:hint="eastAsia" w:ascii="黑体" w:hAnsi="黑体" w:eastAsia="黑体" w:cs="黑体"/>
          <w:b w:val="0"/>
          <w:bCs/>
          <w:sz w:val="32"/>
          <w:szCs w:val="32"/>
        </w:rPr>
        <w:t>财政拨款三公经费支出决算情况说明</w:t>
      </w:r>
    </w:p>
    <w:p w14:paraId="30C52244">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（一）“三公”经费财政拨款支出决算总体情况说明</w:t>
      </w:r>
    </w:p>
    <w:p w14:paraId="16A00FF9">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“三公”经费财政拨款支出预算为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r>
        <w:rPr>
          <w:rFonts w:hint="eastAsia" w:ascii="Times New Roman" w:hAnsi="Times New Roman" w:eastAsia="仿宋_GB2312"/>
          <w:sz w:val="32"/>
          <w:szCs w:val="32"/>
        </w:rPr>
        <w:t>决算数等于预算数</w:t>
      </w:r>
      <w:r>
        <w:rPr>
          <w:rFonts w:hint="eastAsia" w:ascii="仿宋_GB2312" w:hAnsi="仿宋_GB2312" w:eastAsia="仿宋_GB2312" w:cs="仿宋_GB2312"/>
          <w:sz w:val="32"/>
          <w:szCs w:val="32"/>
        </w:rPr>
        <w:t>。其中：</w:t>
      </w:r>
    </w:p>
    <w:p w14:paraId="67F32E50">
      <w:pPr>
        <w:pStyle w:val="14"/>
        <w:spacing w:line="600" w:lineRule="exact"/>
        <w:ind w:firstLine="960" w:firstLineChars="300"/>
        <w:rPr>
          <w:rFonts w:hint="eastAsia" w:ascii="Times New Roman" w:hAnsi="Times New Roman" w:eastAsia="仿宋_GB2312"/>
          <w:sz w:val="32"/>
          <w:szCs w:val="32"/>
        </w:rPr>
      </w:pPr>
      <w:r>
        <w:rPr>
          <w:rFonts w:hint="eastAsia" w:ascii="仿宋_GB2312" w:hAnsi="仿宋_GB2312" w:eastAsia="仿宋_GB2312" w:cs="仿宋_GB2312"/>
          <w:sz w:val="32"/>
          <w:szCs w:val="32"/>
        </w:rPr>
        <w:t>因公出国（境）费支出预算为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r>
        <w:rPr>
          <w:rFonts w:hint="eastAsia" w:ascii="Times New Roman" w:hAnsi="Times New Roman" w:eastAsia="仿宋_GB2312"/>
          <w:sz w:val="32"/>
          <w:szCs w:val="32"/>
        </w:rPr>
        <w:t>决算数等于预算数，主要原因是我单位严格按预算执行决算；与上年一致，无增减变动，主要原因是未安排因公出国（境）活动。</w:t>
      </w:r>
    </w:p>
    <w:p w14:paraId="10EEA824">
      <w:pPr>
        <w:pStyle w:val="14"/>
        <w:spacing w:line="600" w:lineRule="exact"/>
        <w:ind w:firstLine="960" w:firstLineChars="300"/>
        <w:rPr>
          <w:rFonts w:hint="eastAsia" w:ascii="Times New Roman" w:hAnsi="Times New Roman" w:eastAsia="仿宋_GB2312"/>
          <w:sz w:val="32"/>
          <w:szCs w:val="32"/>
        </w:rPr>
      </w:pPr>
      <w:r>
        <w:rPr>
          <w:rFonts w:hint="eastAsia" w:ascii="Times New Roman" w:hAnsi="Times New Roman" w:eastAsia="仿宋_GB2312"/>
          <w:sz w:val="32"/>
          <w:szCs w:val="32"/>
        </w:rPr>
        <w:t xml:space="preserve">公务接待费支出预算为0万元，支出决算为0万元，决算数等于预算数，主要原因是严格执行中央八项规定；与上年一致，无增减变动，主要原因是按有关政策厉行节约，严控公务接待支出。  </w:t>
      </w:r>
    </w:p>
    <w:p w14:paraId="5BD9AC73">
      <w:pPr>
        <w:pStyle w:val="14"/>
        <w:spacing w:line="600" w:lineRule="exact"/>
        <w:ind w:firstLine="960" w:firstLineChars="300"/>
        <w:rPr>
          <w:rFonts w:hint="eastAsia" w:ascii="Times New Roman" w:hAnsi="Times New Roman" w:eastAsia="仿宋_GB2312"/>
          <w:sz w:val="32"/>
          <w:szCs w:val="32"/>
        </w:rPr>
      </w:pPr>
      <w:r>
        <w:rPr>
          <w:rFonts w:hint="eastAsia" w:ascii="Times New Roman" w:hAnsi="Times New Roman" w:eastAsia="仿宋_GB2312"/>
          <w:sz w:val="32"/>
          <w:szCs w:val="32"/>
        </w:rPr>
        <w:t xml:space="preserve">公务用车购置费支出预算为0万元，支出决算为0万元，决算数等于预算数，主要原因是我单位严格按预算执行决算；与上年一致，无增减变动，主要原因是两年均未购置公务用车。  </w:t>
      </w:r>
    </w:p>
    <w:p w14:paraId="67FB02FF">
      <w:pPr>
        <w:pStyle w:val="14"/>
        <w:spacing w:line="600" w:lineRule="exact"/>
        <w:ind w:firstLine="960" w:firstLineChars="300"/>
        <w:rPr>
          <w:rFonts w:hint="eastAsia" w:ascii="Times New Roman" w:hAnsi="Times New Roman" w:eastAsia="仿宋_GB2312"/>
          <w:sz w:val="32"/>
          <w:szCs w:val="32"/>
        </w:rPr>
      </w:pPr>
      <w:r>
        <w:rPr>
          <w:rFonts w:hint="eastAsia" w:ascii="Times New Roman" w:hAnsi="Times New Roman" w:eastAsia="仿宋_GB2312"/>
          <w:sz w:val="32"/>
          <w:szCs w:val="32"/>
        </w:rPr>
        <w:t xml:space="preserve">公务用车运行维护费支出预算为0万元，支出决算为0万元，决算数等于预算数，主要原因是我单位严格按预算执行决算；与上年一致，无增减变动，主要原因是两年均无公务用车需要运行维护。 </w:t>
      </w:r>
    </w:p>
    <w:p w14:paraId="61C11759">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（二）“三公”经费财政拨款支出决算具体情况说明</w:t>
      </w:r>
    </w:p>
    <w:p w14:paraId="614A21DF">
      <w:pPr>
        <w:pStyle w:val="14"/>
        <w:keepNext w:val="0"/>
        <w:keepLines w:val="0"/>
        <w:pageBreakBefore w:val="0"/>
        <w:widowControl w:val="0"/>
        <w:numPr>
          <w:ilvl w:val="0"/>
          <w:numId w:val="0"/>
        </w:numPr>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b w:val="0"/>
          <w:bCs/>
          <w:color w:val="auto"/>
          <w:kern w:val="0"/>
          <w:sz w:val="32"/>
          <w:szCs w:val="32"/>
          <w:lang w:val="en-US" w:eastAsia="zh-CN" w:bidi="ar-SA"/>
        </w:rPr>
      </w:pPr>
      <w:r>
        <w:rPr>
          <w:rFonts w:hint="eastAsia" w:ascii="仿宋_GB2312" w:hAnsi="仿宋_GB2312" w:eastAsia="仿宋_GB2312" w:cs="仿宋_GB2312"/>
          <w:b w:val="0"/>
          <w:bCs/>
          <w:color w:val="auto"/>
          <w:kern w:val="0"/>
          <w:sz w:val="32"/>
          <w:szCs w:val="32"/>
          <w:lang w:val="en-US" w:eastAsia="zh-CN" w:bidi="ar-SA"/>
        </w:rPr>
        <w:t>2023年度“三公”经费财政拨款支出决算中，公务接待费支出决算0万元，因公出国（境）费支出决算0万元，公务用车购置费及运行维护费支出决算0万元。其中：</w:t>
      </w:r>
    </w:p>
    <w:p w14:paraId="6BDBE510">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b/>
          <w:bCs/>
          <w:i/>
          <w:color w:val="auto"/>
          <w:sz w:val="32"/>
          <w:szCs w:val="32"/>
        </w:rPr>
      </w:pPr>
      <w:r>
        <w:rPr>
          <w:rFonts w:hint="eastAsia" w:ascii="仿宋_GB2312" w:hAnsi="仿宋_GB2312" w:eastAsia="仿宋_GB2312" w:cs="仿宋_GB2312"/>
          <w:b w:val="0"/>
          <w:bCs/>
          <w:color w:val="auto"/>
          <w:kern w:val="0"/>
          <w:sz w:val="32"/>
          <w:szCs w:val="32"/>
          <w:lang w:val="en-US" w:eastAsia="zh-CN" w:bidi="ar-SA"/>
        </w:rPr>
        <w:t>1、因公出国（境）费支出决算为0万元，全年安排因公出国（境）团组0个，累计0人次，我单位2023年度无因公出国（境）费支出。</w:t>
      </w:r>
    </w:p>
    <w:p w14:paraId="34A75843">
      <w:pPr>
        <w:keepNext w:val="0"/>
        <w:keepLines w:val="0"/>
        <w:pageBreakBefore w:val="0"/>
        <w:widowControl w:val="0"/>
        <w:numPr>
          <w:ilvl w:val="0"/>
          <w:numId w:val="0"/>
        </w:numPr>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lang w:val="en-US" w:eastAsia="zh-CN" w:bidi="ar-SA"/>
        </w:rPr>
        <w:t xml:space="preserve">2、公务接待费支出决算为0万元，全年共接待来访团组0个、来宾0人次，我单位2023年度无公务接待费支出。 </w:t>
      </w:r>
      <w:r>
        <w:rPr>
          <w:rFonts w:hint="eastAsia" w:ascii="仿宋_GB2312" w:hAnsi="仿宋_GB2312" w:eastAsia="仿宋_GB2312" w:cs="仿宋_GB2312"/>
          <w:b w:val="0"/>
          <w:bCs/>
          <w:color w:val="auto"/>
          <w:kern w:val="0"/>
          <w:sz w:val="32"/>
          <w:szCs w:val="32"/>
          <w:lang w:val="en-US" w:eastAsia="zh-CN" w:bidi="ar-SA"/>
        </w:rPr>
        <w:t xml:space="preserve"> </w:t>
      </w:r>
    </w:p>
    <w:p w14:paraId="4E17D7CE">
      <w:pPr>
        <w:keepNext w:val="0"/>
        <w:keepLines w:val="0"/>
        <w:pageBreakBefore w:val="0"/>
        <w:widowControl w:val="0"/>
        <w:numPr>
          <w:ilvl w:val="0"/>
          <w:numId w:val="0"/>
        </w:numPr>
        <w:kinsoku/>
        <w:wordWrap/>
        <w:overflowPunct/>
        <w:topLinePunct w:val="0"/>
        <w:autoSpaceDE w:val="0"/>
        <w:autoSpaceDN w:val="0"/>
        <w:bidi w:val="0"/>
        <w:adjustRightInd w:val="0"/>
        <w:snapToGrid/>
        <w:spacing w:line="600" w:lineRule="exact"/>
        <w:ind w:left="630" w:leftChars="0"/>
        <w:textAlignment w:val="auto"/>
        <w:rPr>
          <w:rFonts w:hint="eastAsia" w:ascii="仿宋_GB2312" w:hAnsi="仿宋_GB2312" w:eastAsia="仿宋_GB2312" w:cs="仿宋_GB2312"/>
          <w:b/>
          <w:bCs/>
          <w:i/>
          <w:color w:val="auto"/>
          <w:kern w:val="0"/>
          <w:sz w:val="32"/>
          <w:szCs w:val="32"/>
          <w:lang w:val="en-US" w:eastAsia="zh-CN" w:bidi="ar-SA"/>
        </w:rPr>
      </w:pPr>
      <w:r>
        <w:rPr>
          <w:rFonts w:hint="eastAsia" w:ascii="仿宋_GB2312" w:hAnsi="仿宋_GB2312" w:eastAsia="仿宋_GB2312" w:cs="仿宋_GB2312"/>
          <w:color w:val="auto"/>
          <w:sz w:val="32"/>
          <w:szCs w:val="32"/>
        </w:rPr>
        <w:t>3、</w:t>
      </w:r>
      <w:r>
        <w:rPr>
          <w:rFonts w:hint="eastAsia" w:ascii="仿宋_GB2312" w:hAnsi="仿宋_GB2312" w:eastAsia="仿宋_GB2312" w:cs="仿宋_GB2312"/>
          <w:b w:val="0"/>
          <w:bCs/>
          <w:color w:val="auto"/>
          <w:kern w:val="0"/>
          <w:sz w:val="32"/>
          <w:szCs w:val="32"/>
          <w:lang w:val="en-US" w:eastAsia="zh-CN" w:bidi="ar-SA"/>
        </w:rPr>
        <w:t>公务用车购置费及运行维护费支出决算为0万元，其中：公务用车购置费0万元，当年没有购置公务用车。公务用车运行维护费0万元，截至2023年12月31日，我单位开支财政拨款的公务用车保有量为0辆。</w:t>
      </w:r>
    </w:p>
    <w:p w14:paraId="7F5AC24E">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color w:val="auto"/>
          <w:sz w:val="32"/>
          <w:szCs w:val="32"/>
        </w:rPr>
      </w:pPr>
      <w:r>
        <w:rPr>
          <w:rFonts w:hint="eastAsia" w:ascii="Times New Roman" w:hAnsi="Times New Roman" w:eastAsia="仿宋_GB2312"/>
          <w:b/>
          <w:color w:val="auto"/>
          <w:sz w:val="32"/>
          <w:szCs w:val="32"/>
          <w:lang w:eastAsia="zh-CN"/>
        </w:rPr>
        <w:t>十</w:t>
      </w:r>
      <w:r>
        <w:rPr>
          <w:rFonts w:hint="eastAsia" w:ascii="Times New Roman" w:hAnsi="Times New Roman" w:eastAsia="仿宋_GB2312"/>
          <w:b/>
          <w:color w:val="auto"/>
          <w:sz w:val="32"/>
          <w:szCs w:val="32"/>
        </w:rPr>
        <w:t>、关于机关运行经费支出说明</w:t>
      </w:r>
    </w:p>
    <w:p w14:paraId="6EC8F5A4">
      <w:pPr>
        <w:pStyle w:val="14"/>
        <w:ind w:firstLine="640" w:firstLineChars="200"/>
        <w:rPr>
          <w:rFonts w:hint="eastAsia" w:ascii="楷体" w:hAnsi="楷体" w:eastAsia="楷体" w:cs="楷体"/>
          <w:sz w:val="32"/>
          <w:szCs w:val="32"/>
        </w:rPr>
      </w:pPr>
      <w:r>
        <w:rPr>
          <w:rFonts w:hint="eastAsia" w:ascii="Times New Roman" w:hAnsi="Times New Roman" w:eastAsia="仿宋_GB2312"/>
          <w:sz w:val="32"/>
          <w:szCs w:val="32"/>
        </w:rPr>
        <w:t>本级和所属单位均为事业单位，按照机关运行经费的口径，本年度机关运行经费为0。</w:t>
      </w:r>
    </w:p>
    <w:p w14:paraId="56CF2A12">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w:t>
      </w:r>
      <w:r>
        <w:rPr>
          <w:rFonts w:hint="eastAsia" w:hAnsi="黑体" w:cs="黑体"/>
          <w:b w:val="0"/>
          <w:bCs/>
          <w:sz w:val="32"/>
          <w:szCs w:val="32"/>
          <w:lang w:eastAsia="zh-CN"/>
        </w:rPr>
        <w:t>一</w:t>
      </w:r>
      <w:r>
        <w:rPr>
          <w:rFonts w:hint="eastAsia" w:ascii="黑体" w:hAnsi="黑体" w:eastAsia="黑体" w:cs="黑体"/>
          <w:b w:val="0"/>
          <w:bCs/>
          <w:sz w:val="32"/>
          <w:szCs w:val="32"/>
        </w:rPr>
        <w:t>、一般性支出情况说明</w:t>
      </w:r>
    </w:p>
    <w:p w14:paraId="2C5BF3AD">
      <w:pPr>
        <w:pStyle w:val="14"/>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年度，会议费年初预算0万元，支出决算为0万元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本单位无会议费的预算和支出决算数。</w:t>
      </w:r>
    </w:p>
    <w:p w14:paraId="181DD627">
      <w:pPr>
        <w:widowControl w:val="0"/>
        <w:autoSpaceDE w:val="0"/>
        <w:autoSpaceDN w:val="0"/>
        <w:adjustRightInd w:val="0"/>
        <w:ind w:firstLine="640" w:firstLineChars="200"/>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培训费年初预算0万元，支出决算为0.2万元。用于开展入党积极分子培训，人数4人，内容为党史党性、党纪党规教育等。</w:t>
      </w:r>
    </w:p>
    <w:p w14:paraId="2A421DF7">
      <w:pPr>
        <w:widowControl w:val="0"/>
        <w:autoSpaceDE w:val="0"/>
        <w:autoSpaceDN w:val="0"/>
        <w:adjustRightInd w:val="0"/>
        <w:ind w:firstLine="640" w:firstLineChars="200"/>
        <w:rPr>
          <w:rFonts w:hint="default"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 xml:space="preserve">举办节庆、晚会、论坛、赛事活动年初预算0万元，支出决算为0万元。本单位无举办节庆、晚会、论坛、赛事等活动的预算和支出决算数。 </w:t>
      </w:r>
      <w:bookmarkStart w:id="0" w:name="_GoBack"/>
      <w:bookmarkEnd w:id="0"/>
    </w:p>
    <w:p w14:paraId="7CE4EFE4">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w:t>
      </w:r>
      <w:r>
        <w:rPr>
          <w:rFonts w:hint="eastAsia" w:hAnsi="黑体" w:cs="黑体"/>
          <w:b w:val="0"/>
          <w:bCs/>
          <w:sz w:val="32"/>
          <w:szCs w:val="32"/>
          <w:lang w:eastAsia="zh-CN"/>
        </w:rPr>
        <w:t>二</w:t>
      </w:r>
      <w:r>
        <w:rPr>
          <w:rFonts w:hint="eastAsia" w:ascii="黑体" w:hAnsi="黑体" w:eastAsia="黑体" w:cs="黑体"/>
          <w:b w:val="0"/>
          <w:bCs/>
          <w:sz w:val="32"/>
          <w:szCs w:val="32"/>
        </w:rPr>
        <w:t>、关于政府采购支出说明</w:t>
      </w:r>
    </w:p>
    <w:p w14:paraId="4E8B1906">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仿宋_GB2312" w:hAnsi="仿宋_GB2312" w:eastAsia="仿宋_GB2312" w:cs="仿宋_GB2312"/>
          <w:color w:val="000000"/>
          <w:kern w:val="0"/>
          <w:sz w:val="32"/>
          <w:szCs w:val="32"/>
          <w:lang w:val="en-US" w:eastAsia="zh-CN" w:bidi="ar-SA"/>
        </w:rPr>
      </w:pPr>
      <w:r>
        <w:rPr>
          <w:rFonts w:hint="eastAsia" w:ascii="仿宋_GB2312" w:hAnsi="仿宋_GB2312" w:eastAsia="仿宋_GB2312" w:cs="仿宋_GB2312"/>
          <w:color w:val="000000"/>
          <w:kern w:val="0"/>
          <w:sz w:val="32"/>
          <w:szCs w:val="32"/>
          <w:lang w:val="en-US" w:eastAsia="zh-CN" w:bidi="ar-SA"/>
        </w:rPr>
        <w:t>本部门2023年度政府采购支出总额0万元，其中：政府采购货物支出0 万元、政府采购工程支出0万元、政府采购服务支出0万元。授予中小企业合同金额0万元（由于政府采购支出总额为0，故无法计算占政府采购支出总额的比重），其中：授予小微企业合同金额0万元（由于授予中小企业合同金额为0，故无法计算占授予中小企业合同金额的比重）。货物采购授予中小企业合同金额占货物支出金额的比重，工程采购授予中小企业合同金额占工程支出金额的比重，服务采购授予中小企业合同金额占服务支出金额的比重，由于以上各项合同金额为0，故无法计算各项占比。</w:t>
      </w:r>
    </w:p>
    <w:p w14:paraId="5EE07241">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十</w:t>
      </w:r>
      <w:r>
        <w:rPr>
          <w:rFonts w:hint="eastAsia" w:hAnsi="黑体" w:cs="黑体"/>
          <w:b w:val="0"/>
          <w:bCs/>
          <w:color w:val="auto"/>
          <w:sz w:val="32"/>
          <w:szCs w:val="32"/>
          <w:lang w:eastAsia="zh-CN"/>
        </w:rPr>
        <w:t>三</w:t>
      </w:r>
      <w:r>
        <w:rPr>
          <w:rFonts w:hint="eastAsia" w:ascii="黑体" w:hAnsi="黑体" w:eastAsia="黑体" w:cs="黑体"/>
          <w:b w:val="0"/>
          <w:bCs/>
          <w:color w:val="auto"/>
          <w:sz w:val="32"/>
          <w:szCs w:val="32"/>
        </w:rPr>
        <w:t>、关于国有资产占用情况说明</w:t>
      </w:r>
    </w:p>
    <w:p w14:paraId="5DFA2D8D">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仿宋_GB2312" w:hAnsi="仿宋_GB2312" w:eastAsia="仿宋_GB2312" w:cs="仿宋_GB2312"/>
          <w:i w:val="0"/>
          <w:iCs/>
          <w:color w:val="FF0000"/>
          <w:sz w:val="32"/>
          <w:szCs w:val="32"/>
          <w:lang w:val="en-US" w:eastAsia="zh-CN"/>
        </w:rPr>
      </w:pPr>
      <w:r>
        <w:rPr>
          <w:rFonts w:hint="eastAsia" w:ascii="仿宋_GB2312" w:hAnsi="仿宋_GB2312" w:eastAsia="仿宋_GB2312" w:cs="仿宋_GB2312"/>
          <w:color w:val="auto"/>
          <w:sz w:val="32"/>
          <w:szCs w:val="32"/>
          <w:lang w:val="en-US" w:eastAsia="zh-CN"/>
        </w:rPr>
        <w:t>截至2023年12月31日，本单位共有车辆0辆，其中，</w:t>
      </w:r>
      <w:r>
        <w:rPr>
          <w:rFonts w:hint="eastAsia" w:ascii="仿宋_GB2312" w:hAnsi="仿宋_GB2312" w:eastAsia="仿宋_GB2312" w:cs="仿宋_GB2312"/>
          <w:color w:val="auto"/>
          <w:sz w:val="32"/>
          <w:szCs w:val="32"/>
          <w:lang w:eastAsia="zh-CN"/>
        </w:rPr>
        <w:t>副部（省）级及以上领导用车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主要</w:t>
      </w:r>
      <w:r>
        <w:rPr>
          <w:rFonts w:hint="eastAsia" w:ascii="仿宋_GB2312" w:hAnsi="仿宋_GB2312" w:eastAsia="仿宋_GB2312" w:cs="仿宋_GB2312"/>
          <w:color w:val="auto"/>
          <w:sz w:val="32"/>
          <w:szCs w:val="32"/>
          <w:lang w:eastAsia="zh-CN"/>
        </w:rPr>
        <w:t>负责人</w:t>
      </w:r>
      <w:r>
        <w:rPr>
          <w:rFonts w:hint="eastAsia" w:ascii="仿宋_GB2312" w:hAnsi="仿宋_GB2312" w:eastAsia="仿宋_GB2312" w:cs="仿宋_GB2312"/>
          <w:color w:val="auto"/>
          <w:sz w:val="32"/>
          <w:szCs w:val="32"/>
        </w:rPr>
        <w:t>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机要通信用车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辆、应急保障用车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辆、执法执勤用车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辆、特种专业技术用车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color w:val="auto"/>
          <w:sz w:val="32"/>
          <w:szCs w:val="32"/>
          <w:lang w:eastAsia="zh-CN"/>
        </w:rPr>
        <w:t>离退休干部服务用车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辆、其他用车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辆；单位价值100万元以上设备</w:t>
      </w:r>
      <w:r>
        <w:rPr>
          <w:rFonts w:hint="eastAsia" w:ascii="仿宋_GB2312" w:hAnsi="仿宋_GB2312" w:eastAsia="仿宋_GB2312" w:cs="仿宋_GB2312"/>
          <w:color w:val="auto"/>
          <w:sz w:val="32"/>
          <w:szCs w:val="32"/>
          <w:lang w:eastAsia="zh-CN"/>
        </w:rPr>
        <w:t>（不含车辆）</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台（套）</w:t>
      </w:r>
      <w:r>
        <w:rPr>
          <w:rFonts w:hint="eastAsia" w:ascii="仿宋_GB2312" w:hAnsi="仿宋_GB2312" w:eastAsia="仿宋_GB2312" w:cs="仿宋_GB2312"/>
          <w:color w:val="auto"/>
          <w:sz w:val="32"/>
          <w:szCs w:val="32"/>
          <w:lang w:eastAsia="zh-CN"/>
        </w:rPr>
        <w:t>。</w:t>
      </w:r>
    </w:p>
    <w:p w14:paraId="71423C66">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十</w:t>
      </w:r>
      <w:r>
        <w:rPr>
          <w:rFonts w:hint="eastAsia" w:hAnsi="黑体" w:cs="黑体"/>
          <w:b w:val="0"/>
          <w:bCs/>
          <w:color w:val="auto"/>
          <w:sz w:val="32"/>
          <w:szCs w:val="32"/>
          <w:lang w:eastAsia="zh-CN"/>
        </w:rPr>
        <w:t>四</w:t>
      </w:r>
      <w:r>
        <w:rPr>
          <w:rFonts w:hint="eastAsia" w:ascii="黑体" w:hAnsi="黑体" w:eastAsia="黑体" w:cs="黑体"/>
          <w:b w:val="0"/>
          <w:bCs/>
          <w:color w:val="auto"/>
          <w:sz w:val="32"/>
          <w:szCs w:val="32"/>
        </w:rPr>
        <w:t>、关于</w:t>
      </w:r>
      <w:r>
        <w:rPr>
          <w:rFonts w:hint="eastAsia" w:ascii="Times New Roman" w:hAnsi="Times New Roman" w:eastAsia="仿宋_GB2312"/>
          <w:color w:val="auto"/>
          <w:sz w:val="32"/>
          <w:szCs w:val="32"/>
        </w:rPr>
        <w:t>202</w:t>
      </w:r>
      <w:r>
        <w:rPr>
          <w:rFonts w:hint="eastAsia" w:ascii="Times New Roman" w:hAnsi="Times New Roman" w:eastAsia="仿宋_GB2312"/>
          <w:color w:val="auto"/>
          <w:sz w:val="32"/>
          <w:szCs w:val="32"/>
          <w:lang w:val="en-US" w:eastAsia="zh-CN"/>
        </w:rPr>
        <w:t>3</w:t>
      </w:r>
      <w:r>
        <w:rPr>
          <w:rFonts w:hint="eastAsia" w:ascii="黑体" w:hAnsi="黑体" w:eastAsia="黑体" w:cs="黑体"/>
          <w:b w:val="0"/>
          <w:bCs/>
          <w:color w:val="auto"/>
          <w:sz w:val="32"/>
          <w:szCs w:val="32"/>
        </w:rPr>
        <w:t>年度</w:t>
      </w:r>
      <w:r>
        <w:rPr>
          <w:rFonts w:hint="eastAsia" w:hAnsi="黑体" w:cs="黑体"/>
          <w:b w:val="0"/>
          <w:bCs/>
          <w:color w:val="auto"/>
          <w:sz w:val="32"/>
          <w:szCs w:val="32"/>
          <w:lang w:eastAsia="zh-CN"/>
        </w:rPr>
        <w:t>预算</w:t>
      </w:r>
      <w:r>
        <w:rPr>
          <w:rFonts w:hint="eastAsia" w:ascii="黑体" w:hAnsi="黑体" w:eastAsia="黑体" w:cs="黑体"/>
          <w:b w:val="0"/>
          <w:bCs/>
          <w:color w:val="auto"/>
          <w:sz w:val="32"/>
          <w:szCs w:val="32"/>
        </w:rPr>
        <w:t>绩效情况的说明</w:t>
      </w:r>
    </w:p>
    <w:p w14:paraId="6174A62A">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left"/>
        <w:textAlignment w:val="auto"/>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（一）绩效管理工作开展情况</w:t>
      </w:r>
    </w:p>
    <w:p w14:paraId="11484BB8">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根据预算绩效管理要求，我们组织对2023年度整体支出和项目资金实施了全覆盖性的绩效评价，撰写了绩效自评报告。</w:t>
      </w:r>
    </w:p>
    <w:p w14:paraId="4837BB1F">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组织开展整体支出绩效评价，涉及一般公共预算支出3747.25万元，政府性基金预算支出0万元，国有资本经营预算支出0万元。从评价情况来看，整体支出绩效评价中，2023年整体支出4908.03万元，其中：基本支出3993.23万元，项目支出914.8万元，本单位整体支出绩效自评综合评分95.3分，评价结果等次为良好。</w:t>
      </w:r>
    </w:p>
    <w:p w14:paraId="214F7AE2">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val="0"/>
          <w:bCs w:val="0"/>
          <w:color w:val="000000"/>
          <w:kern w:val="0"/>
          <w:sz w:val="32"/>
          <w:szCs w:val="32"/>
          <w:lang w:val="en-US" w:eastAsia="zh-CN" w:bidi="ar-SA"/>
        </w:rPr>
        <w:t>组织对一般公共预算项目支出全面开展绩效自评，项目5个，共涉及资金914.8万元，占一般公共预算项目支出总额的100%。组织对政府性基金预算项目支出开展绩效自评，项目0个，共涉及资金0万元，占政府性基金预算项目支出总额的0%。组织对国有资本经营预算项目支出开展绩效自评，项目0个，共涉及资金0万元，占国有资本经营预算项目支出总额的0%。从评价情况来看，项目绩效自评得分95分，评价结果等次为良好。</w:t>
      </w:r>
    </w:p>
    <w:p w14:paraId="4A09D3BC">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部门</w:t>
      </w:r>
      <w:r>
        <w:rPr>
          <w:rFonts w:hint="eastAsia" w:ascii="楷体" w:hAnsi="楷体" w:eastAsia="楷体" w:cs="楷体"/>
          <w:b/>
          <w:bCs/>
          <w:sz w:val="32"/>
          <w:szCs w:val="32"/>
          <w:lang w:eastAsia="zh-CN"/>
        </w:rPr>
        <w:t>（单位）</w:t>
      </w:r>
      <w:r>
        <w:rPr>
          <w:rFonts w:hint="eastAsia" w:ascii="楷体" w:hAnsi="楷体" w:eastAsia="楷体" w:cs="楷体"/>
          <w:b/>
          <w:bCs/>
          <w:sz w:val="32"/>
          <w:szCs w:val="32"/>
        </w:rPr>
        <w:t>整体支出绩效情况</w:t>
      </w:r>
    </w:p>
    <w:p w14:paraId="23042700">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000000"/>
          <w:kern w:val="0"/>
          <w:sz w:val="32"/>
          <w:szCs w:val="32"/>
          <w:lang w:val="en-US" w:eastAsia="zh-CN" w:bidi="ar-SA"/>
        </w:rPr>
        <w:t>根据年初设定的绩效目标，绩效自评得分为95分。全年预算数为5148.12万元，执行数为4908.03万元，完成预算的95.34%。</w:t>
      </w:r>
      <w:r>
        <w:rPr>
          <w:rFonts w:hint="eastAsia" w:ascii="仿宋_GB2312" w:hAnsi="仿宋_GB2312" w:eastAsia="仿宋_GB2312" w:cs="仿宋_GB2312"/>
          <w:sz w:val="32"/>
          <w:szCs w:val="32"/>
        </w:rPr>
        <w:t>绩效目标完成情况：一是保证学校正常经费开支；二是有效提升学校整体教育教学和办学条件水平。发现的主要问题及原因：一是绩效目标设置科学性有待提高；二是由于部分绩效指标设置不够全面，绩效指标设置的科学性、准确性有待提升。下一步改进措施：一是多措并举，提高绩效管理水平；二是加强预算编制，加快资金执行效率；三是建立绩效管理制度，加强绩效运行监控。</w:t>
      </w:r>
    </w:p>
    <w:p w14:paraId="0629CBD8">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（三）</w:t>
      </w:r>
      <w:r>
        <w:rPr>
          <w:rFonts w:hint="eastAsia" w:ascii="楷体" w:hAnsi="楷体" w:eastAsia="楷体" w:cs="楷体"/>
          <w:b/>
          <w:bCs/>
          <w:sz w:val="32"/>
          <w:szCs w:val="32"/>
        </w:rPr>
        <w:t>存在的问题及原因分析</w:t>
      </w:r>
    </w:p>
    <w:p w14:paraId="1EDCB4A8">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40" w:lineRule="atLeast"/>
        <w:ind w:left="0" w:right="0" w:firstLine="420"/>
        <w:jc w:val="both"/>
        <w:textAlignment w:val="cente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1、部分预算绩效管理工作开展不到位，预算绩效管理意识有待提高。一是绩效目标编制不完整。二是绩效指标类别划分不准确、部分绩效指标量化程度不高。</w:t>
      </w:r>
    </w:p>
    <w:p w14:paraId="6478013D">
      <w:pPr>
        <w:autoSpaceDE w:val="0"/>
        <w:autoSpaceDN w:val="0"/>
        <w:adjustRightInd w:val="0"/>
        <w:ind w:firstLine="640" w:firstLineChars="200"/>
        <w:jc w:val="left"/>
        <w:rPr>
          <w:rFonts w:hint="eastAsia"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2</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绩效自评工作开展不到位。一是部门绩效管理理念还未深入，预算绩效管理主体意识不强，部门未将预算绩效管理作为加强预算管理，提升资金使用绩效的有效管理模式，绩效管理工作大都为被动应付，存在被财政推着走的情况。二是部门内部协调机制不完善，绩效自评工作各相关业务处室配合有待加强。</w:t>
      </w:r>
      <w:r>
        <w:rPr>
          <w:rFonts w:hint="eastAsia" w:ascii="仿宋_GB2312" w:hAnsi="仿宋_GB2312" w:eastAsia="仿宋_GB2312" w:cs="仿宋_GB2312"/>
          <w:kern w:val="2"/>
          <w:sz w:val="32"/>
          <w:szCs w:val="32"/>
          <w:lang w:val="en-US" w:eastAsia="zh-CN" w:bidi="ar-SA"/>
        </w:rPr>
        <w:t>预算绩效管理开展情况、绩效目标和绩效评价报告等，已在市政府部门财政预决算公开平台上向社会公开，详见附件。</w:t>
      </w:r>
    </w:p>
    <w:p w14:paraId="5EE07CC5">
      <w:pPr>
        <w:numPr>
          <w:ilvl w:val="0"/>
          <w:numId w:val="0"/>
        </w:numPr>
        <w:autoSpaceDE w:val="0"/>
        <w:autoSpaceDN w:val="0"/>
        <w:adjustRightInd w:val="0"/>
        <w:jc w:val="left"/>
        <w:rPr>
          <w:rFonts w:hint="eastAsia" w:ascii="楷体" w:hAnsi="楷体" w:eastAsia="楷体" w:cs="楷体"/>
          <w:b/>
          <w:bCs/>
          <w:i w:val="0"/>
          <w:iCs w:val="0"/>
          <w:color w:val="FF0000"/>
          <w:kern w:val="0"/>
          <w:sz w:val="36"/>
          <w:szCs w:val="36"/>
          <w:lang w:val="en-US" w:eastAsia="zh-CN"/>
        </w:rPr>
      </w:pPr>
    </w:p>
    <w:p w14:paraId="7E06A7D7">
      <w:pPr>
        <w:pStyle w:val="14"/>
        <w:jc w:val="both"/>
        <w:rPr>
          <w:sz w:val="72"/>
          <w:szCs w:val="72"/>
        </w:rPr>
      </w:pPr>
    </w:p>
    <w:p w14:paraId="07532648">
      <w:pPr>
        <w:pStyle w:val="14"/>
        <w:jc w:val="center"/>
        <w:rPr>
          <w:sz w:val="72"/>
          <w:szCs w:val="72"/>
        </w:rPr>
      </w:pPr>
    </w:p>
    <w:p w14:paraId="44B514E4">
      <w:pPr>
        <w:pStyle w:val="14"/>
        <w:jc w:val="center"/>
        <w:rPr>
          <w:rFonts w:hint="eastAsia" w:ascii="方正小标宋_GBK" w:hAnsi="方正小标宋_GBK" w:eastAsia="方正小标宋_GBK" w:cs="方正小标宋_GBK"/>
          <w:sz w:val="70"/>
          <w:szCs w:val="70"/>
          <w:lang w:eastAsia="zh-CN"/>
        </w:rPr>
      </w:pPr>
    </w:p>
    <w:p w14:paraId="5B3801D7">
      <w:pPr>
        <w:pStyle w:val="14"/>
        <w:jc w:val="center"/>
        <w:rPr>
          <w:rFonts w:hint="eastAsia" w:ascii="方正小标宋_GBK" w:hAnsi="方正小标宋_GBK" w:eastAsia="方正小标宋_GBK" w:cs="方正小标宋_GBK"/>
          <w:sz w:val="70"/>
          <w:szCs w:val="70"/>
          <w:lang w:eastAsia="zh-CN"/>
        </w:rPr>
      </w:pPr>
    </w:p>
    <w:p w14:paraId="098E58BD">
      <w:pPr>
        <w:pStyle w:val="14"/>
        <w:jc w:val="center"/>
        <w:rPr>
          <w:rFonts w:hint="eastAsia" w:ascii="方正小标宋_GBK" w:hAnsi="方正小标宋_GBK" w:eastAsia="方正小标宋_GBK" w:cs="方正小标宋_GBK"/>
          <w:sz w:val="72"/>
          <w:szCs w:val="72"/>
        </w:rPr>
      </w:pPr>
    </w:p>
    <w:p w14:paraId="7D68B454">
      <w:pPr>
        <w:pStyle w:val="14"/>
        <w:jc w:val="both"/>
        <w:rPr>
          <w:rFonts w:hint="eastAsia" w:ascii="方正小标宋_GBK" w:hAnsi="方正小标宋_GBK" w:eastAsia="方正小标宋_GBK" w:cs="方正小标宋_GBK"/>
          <w:sz w:val="72"/>
          <w:szCs w:val="72"/>
        </w:rPr>
      </w:pPr>
    </w:p>
    <w:p w14:paraId="47036F1F">
      <w:pPr>
        <w:pStyle w:val="14"/>
        <w:jc w:val="both"/>
        <w:rPr>
          <w:rFonts w:hint="eastAsia" w:ascii="方正小标宋_GBK" w:hAnsi="方正小标宋_GBK" w:eastAsia="方正小标宋_GBK" w:cs="方正小标宋_GBK"/>
          <w:sz w:val="72"/>
          <w:szCs w:val="72"/>
        </w:rPr>
      </w:pPr>
    </w:p>
    <w:p w14:paraId="6BEE48E6">
      <w:pPr>
        <w:pStyle w:val="14"/>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第四部分</w:t>
      </w:r>
    </w:p>
    <w:p w14:paraId="184F5F61">
      <w:pPr>
        <w:jc w:val="center"/>
        <w:rPr>
          <w:rFonts w:hint="eastAsia" w:ascii="方正小标宋_GBK" w:hAnsi="方正小标宋_GBK" w:eastAsia="方正小标宋_GBK" w:cs="方正小标宋_GBK"/>
          <w:color w:val="000000"/>
          <w:kern w:val="0"/>
          <w:sz w:val="70"/>
          <w:szCs w:val="70"/>
        </w:rPr>
      </w:pPr>
    </w:p>
    <w:p w14:paraId="3188CFDC">
      <w:pPr>
        <w:pStyle w:val="14"/>
        <w:jc w:val="center"/>
        <w:rPr>
          <w:rFonts w:hint="eastAsia" w:ascii="方正小标宋_GBK" w:hAnsi="方正小标宋_GBK" w:eastAsia="方正小标宋_GBK" w:cs="方正小标宋_GBK"/>
          <w:sz w:val="70"/>
          <w:szCs w:val="70"/>
          <w:lang w:eastAsia="zh-CN"/>
        </w:rPr>
      </w:pPr>
      <w:r>
        <w:rPr>
          <w:rFonts w:hint="eastAsia" w:ascii="方正小标宋_GBK" w:hAnsi="方正小标宋_GBK" w:eastAsia="方正小标宋_GBK" w:cs="方正小标宋_GBK"/>
          <w:color w:val="000000"/>
          <w:kern w:val="0"/>
          <w:sz w:val="70"/>
          <w:szCs w:val="70"/>
        </w:rPr>
        <w:t>名词解释</w:t>
      </w:r>
    </w:p>
    <w:p w14:paraId="618AF18B">
      <w:pPr>
        <w:pStyle w:val="8"/>
      </w:pPr>
    </w:p>
    <w:p w14:paraId="35C97C79">
      <w:pPr>
        <w:pStyle w:val="4"/>
      </w:pPr>
    </w:p>
    <w:p w14:paraId="46AAADA9"/>
    <w:p w14:paraId="052BE812">
      <w:pPr>
        <w:pStyle w:val="8"/>
      </w:pPr>
    </w:p>
    <w:p w14:paraId="039A1A41">
      <w:pPr>
        <w:pStyle w:val="4"/>
      </w:pPr>
    </w:p>
    <w:p w14:paraId="63D011C4"/>
    <w:p w14:paraId="48729714">
      <w:pPr>
        <w:pStyle w:val="8"/>
      </w:pPr>
    </w:p>
    <w:p w14:paraId="7F4CE472">
      <w:pPr>
        <w:pStyle w:val="4"/>
      </w:pPr>
    </w:p>
    <w:p w14:paraId="46318278"/>
    <w:p w14:paraId="2EE4626D">
      <w:pPr>
        <w:pStyle w:val="2"/>
      </w:pPr>
    </w:p>
    <w:p w14:paraId="77F77958">
      <w:pPr>
        <w:pStyle w:val="2"/>
      </w:pPr>
    </w:p>
    <w:p w14:paraId="0C45FCA9">
      <w:pPr>
        <w:pStyle w:val="2"/>
      </w:pPr>
    </w:p>
    <w:p w14:paraId="530EF45E">
      <w:pPr>
        <w:pStyle w:val="2"/>
      </w:pPr>
    </w:p>
    <w:p w14:paraId="503CDFEB">
      <w:pPr>
        <w:pStyle w:val="2"/>
      </w:pPr>
    </w:p>
    <w:p w14:paraId="7E1E47FD">
      <w:pPr>
        <w:pStyle w:val="2"/>
      </w:pPr>
    </w:p>
    <w:p w14:paraId="207613BB">
      <w:pPr>
        <w:pStyle w:val="2"/>
      </w:pPr>
    </w:p>
    <w:p w14:paraId="10372911">
      <w:pPr>
        <w:pStyle w:val="2"/>
      </w:pPr>
    </w:p>
    <w:p w14:paraId="6457994C">
      <w:pPr>
        <w:pStyle w:val="2"/>
      </w:pPr>
    </w:p>
    <w:p w14:paraId="2A9D44B0">
      <w:pPr>
        <w:pStyle w:val="2"/>
      </w:pPr>
    </w:p>
    <w:p w14:paraId="2D850D8F">
      <w:pPr>
        <w:pStyle w:val="2"/>
      </w:pPr>
    </w:p>
    <w:p w14:paraId="5C960FAD">
      <w:pPr>
        <w:pStyle w:val="8"/>
      </w:pPr>
    </w:p>
    <w:p w14:paraId="48E0E8FE">
      <w:pPr>
        <w:pStyle w:val="4"/>
      </w:pPr>
    </w:p>
    <w:p w14:paraId="36887E91"/>
    <w:p w14:paraId="4DFCBF42">
      <w:pPr>
        <w:pStyle w:val="8"/>
      </w:pPr>
    </w:p>
    <w:p w14:paraId="71495EE6">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一、“三公”经费：指用财政拨款安排的因公出国（境）费、公务用车购置及运行费和公务接待费。其中，因公出国（境）费反映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14:paraId="0F7434D7">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二、机关运行经费，是指各部门的公用经费，包括办公及印刷费、邮电费、差旅费、会议费、福利费、日常维修费、专用材料及一般设备购置费、办公用房水电费、办公用房取暖费、办公用房物业管理费、公务用车运行维护费以及其他费用。</w:t>
      </w:r>
    </w:p>
    <w:p w14:paraId="3FD0CA6F">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三、一般预算财政拨款(补助)收入:指财政部门拨入的各类经费。</w:t>
      </w:r>
    </w:p>
    <w:p w14:paraId="7D77C082">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四、财政拨款收入:指本级财政当年拨付的资金。</w:t>
      </w:r>
    </w:p>
    <w:p w14:paraId="383D389F">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五、社会保障和就业支出(类):是指用于社会保障和就业方面的支出，包括保障机构正常运转、完成日常和特定的工作任务或事业发展目标的支出。归口管理的行政单位离退休，指离退休人员管理机构统一管理的机关离退休人员的经费。</w:t>
      </w:r>
    </w:p>
    <w:p w14:paraId="4E2B05C3">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六、医疗卫生与计划生育支出(类):是指用于医疗卫生与计划生育方面的支出，包括保障机构正常运转、完成日常和特定的工作任务或事业发展目标的支出</w:t>
      </w:r>
    </w:p>
    <w:p w14:paraId="0C5654E7">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七、住房保障支出(类):是指用于住房方面的支出，包括保障机构正常运转、完成日常和特定的工作任务或事业发展目标的支出。</w:t>
      </w:r>
    </w:p>
    <w:p w14:paraId="27966FAB">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八、预算绩效:即政府预算资金实施所产生的效益、效率和效果。</w:t>
      </w:r>
    </w:p>
    <w:p w14:paraId="3415776C">
      <w:pPr>
        <w:pStyle w:val="14"/>
        <w:spacing w:line="600" w:lineRule="exac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九、基本支出:指保障机构正常运转、完成日常工作任务而发生的人员支出和公用支出。</w:t>
      </w:r>
    </w:p>
    <w:p w14:paraId="7CD67E11">
      <w:pPr>
        <w:pStyle w:val="14"/>
        <w:spacing w:line="600" w:lineRule="exact"/>
        <w:ind w:firstLine="640" w:firstLineChars="200"/>
        <w:rPr>
          <w:rFonts w:hint="eastAsia" w:ascii="楷体" w:hAnsi="楷体" w:eastAsia="楷体" w:cs="楷体"/>
          <w:b/>
          <w:bCs/>
          <w:i/>
          <w:color w:val="FF0000"/>
          <w:sz w:val="32"/>
          <w:szCs w:val="32"/>
        </w:rPr>
      </w:pPr>
      <w:r>
        <w:rPr>
          <w:rFonts w:hint="eastAsia" w:ascii="仿宋_GB2312" w:hAnsi="仿宋_GB2312" w:eastAsia="仿宋_GB2312" w:cs="仿宋_GB2312"/>
          <w:color w:val="auto"/>
          <w:kern w:val="2"/>
          <w:sz w:val="32"/>
          <w:szCs w:val="32"/>
        </w:rPr>
        <w:t>十、项目支出:指在基本支出之外为完成特定行政任务和事业发展目标所发生的支出。</w:t>
      </w:r>
    </w:p>
    <w:p w14:paraId="326126BE">
      <w:pPr>
        <w:pStyle w:val="4"/>
      </w:pPr>
    </w:p>
    <w:p w14:paraId="3C6F6355"/>
    <w:p w14:paraId="7B53DC4C">
      <w:pPr>
        <w:pStyle w:val="8"/>
      </w:pPr>
    </w:p>
    <w:p w14:paraId="4199A498">
      <w:pPr>
        <w:pStyle w:val="4"/>
      </w:pPr>
    </w:p>
    <w:p w14:paraId="2EF678E3"/>
    <w:p w14:paraId="006F16CE">
      <w:pPr>
        <w:pStyle w:val="8"/>
      </w:pPr>
    </w:p>
    <w:p w14:paraId="65E444E9">
      <w:pPr>
        <w:pStyle w:val="4"/>
      </w:pPr>
    </w:p>
    <w:p w14:paraId="5543D6E9"/>
    <w:p w14:paraId="43116E98">
      <w:pPr>
        <w:pStyle w:val="8"/>
      </w:pPr>
    </w:p>
    <w:p w14:paraId="11782E45">
      <w:pPr>
        <w:pStyle w:val="4"/>
      </w:pPr>
    </w:p>
    <w:p w14:paraId="62CF8A1D"/>
    <w:p w14:paraId="2DBCDB80">
      <w:pPr>
        <w:pStyle w:val="8"/>
      </w:pPr>
    </w:p>
    <w:p w14:paraId="4B7A8F6D">
      <w:pPr>
        <w:pStyle w:val="4"/>
      </w:pPr>
    </w:p>
    <w:p w14:paraId="04082440"/>
    <w:p w14:paraId="26AD3D02">
      <w:pPr>
        <w:pStyle w:val="8"/>
      </w:pPr>
    </w:p>
    <w:p w14:paraId="054BC9A7">
      <w:pPr>
        <w:pStyle w:val="4"/>
      </w:pPr>
    </w:p>
    <w:p w14:paraId="104FFCF0"/>
    <w:p w14:paraId="30F13609">
      <w:pPr>
        <w:pStyle w:val="8"/>
      </w:pPr>
    </w:p>
    <w:p w14:paraId="6068529B">
      <w:pPr>
        <w:pStyle w:val="4"/>
      </w:pPr>
    </w:p>
    <w:p w14:paraId="0BACE073">
      <w:pPr>
        <w:pStyle w:val="4"/>
      </w:pPr>
    </w:p>
    <w:p w14:paraId="2B55C727"/>
    <w:p w14:paraId="43E801A4">
      <w:pPr>
        <w:pStyle w:val="8"/>
      </w:pPr>
    </w:p>
    <w:p w14:paraId="1ED0E98D">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b/>
          <w:bCs/>
          <w:i/>
          <w:color w:val="FF0000"/>
          <w:kern w:val="0"/>
          <w:sz w:val="32"/>
          <w:szCs w:val="32"/>
          <w:lang w:val="en-US" w:eastAsia="zh-CN" w:bidi="ar-SA"/>
        </w:rPr>
      </w:pPr>
    </w:p>
    <w:p w14:paraId="6EBAC536"/>
    <w:p w14:paraId="2A408EE3">
      <w:pPr>
        <w:pStyle w:val="8"/>
      </w:pPr>
    </w:p>
    <w:p w14:paraId="60EA91A0">
      <w:pPr>
        <w:pStyle w:val="4"/>
      </w:pPr>
    </w:p>
    <w:p w14:paraId="293236D3"/>
    <w:p w14:paraId="051B5055">
      <w:pPr>
        <w:pStyle w:val="8"/>
      </w:pPr>
    </w:p>
    <w:p w14:paraId="0AD70C8A">
      <w:pPr>
        <w:pStyle w:val="4"/>
      </w:pPr>
    </w:p>
    <w:p w14:paraId="482F26DD"/>
    <w:p w14:paraId="534F99DF">
      <w:pPr>
        <w:pStyle w:val="8"/>
      </w:pPr>
    </w:p>
    <w:p w14:paraId="2B4619D1">
      <w:pPr>
        <w:pStyle w:val="4"/>
      </w:pPr>
    </w:p>
    <w:p w14:paraId="77B19276"/>
    <w:p w14:paraId="26593CCC">
      <w:pPr>
        <w:pStyle w:val="8"/>
      </w:pPr>
    </w:p>
    <w:p w14:paraId="453CF627">
      <w:pPr>
        <w:pStyle w:val="4"/>
      </w:pPr>
    </w:p>
    <w:p w14:paraId="21763E02"/>
    <w:p w14:paraId="0E11D45B"/>
    <w:p w14:paraId="1A900E17"/>
    <w:p w14:paraId="655B29B4"/>
    <w:p w14:paraId="30808CF5"/>
    <w:p w14:paraId="0CB68448"/>
    <w:p w14:paraId="272ED134"/>
    <w:p w14:paraId="584D6FCE"/>
    <w:p w14:paraId="299ADFFE"/>
    <w:p w14:paraId="48E356A8">
      <w:pPr>
        <w:pStyle w:val="4"/>
      </w:pPr>
    </w:p>
    <w:p w14:paraId="45528C8A"/>
    <w:p w14:paraId="408BEFE6"/>
    <w:p w14:paraId="02585CCE"/>
    <w:p w14:paraId="539AFCBC"/>
    <w:p w14:paraId="599B37B3"/>
    <w:p w14:paraId="2CB0E739"/>
    <w:p w14:paraId="4E5AC1F6"/>
    <w:p w14:paraId="5F1BAE34"/>
    <w:p w14:paraId="684E49DE"/>
    <w:p w14:paraId="0ABEB3C7"/>
    <w:p w14:paraId="4574E101">
      <w:pPr>
        <w:pStyle w:val="8"/>
      </w:pPr>
    </w:p>
    <w:p w14:paraId="1D24D95F">
      <w:pPr>
        <w:pStyle w:val="4"/>
      </w:pPr>
    </w:p>
    <w:p w14:paraId="72FE9FFF">
      <w:pPr>
        <w:pStyle w:val="14"/>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2"/>
          <w:szCs w:val="72"/>
        </w:rPr>
        <w:t>第</w:t>
      </w:r>
      <w:r>
        <w:rPr>
          <w:rFonts w:hint="eastAsia" w:ascii="方正小标宋_GBK" w:hAnsi="方正小标宋_GBK" w:eastAsia="方正小标宋_GBK" w:cs="方正小标宋_GBK"/>
          <w:sz w:val="72"/>
          <w:szCs w:val="72"/>
          <w:lang w:eastAsia="zh-CN"/>
        </w:rPr>
        <w:t>五</w:t>
      </w:r>
      <w:r>
        <w:rPr>
          <w:rFonts w:hint="eastAsia" w:ascii="方正小标宋_GBK" w:hAnsi="方正小标宋_GBK" w:eastAsia="方正小标宋_GBK" w:cs="方正小标宋_GBK"/>
          <w:sz w:val="72"/>
          <w:szCs w:val="72"/>
        </w:rPr>
        <w:t>部分</w:t>
      </w:r>
    </w:p>
    <w:p w14:paraId="7B28B6A5">
      <w:pPr>
        <w:pStyle w:val="14"/>
        <w:jc w:val="both"/>
        <w:rPr>
          <w:rFonts w:hint="eastAsia" w:ascii="方正小标宋_GBK" w:hAnsi="方正小标宋_GBK" w:eastAsia="方正小标宋_GBK" w:cs="方正小标宋_GBK"/>
          <w:sz w:val="70"/>
          <w:szCs w:val="70"/>
          <w:lang w:eastAsia="zh-CN"/>
        </w:rPr>
      </w:pPr>
    </w:p>
    <w:p w14:paraId="52EF4A70">
      <w:pPr>
        <w:pStyle w:val="14"/>
        <w:jc w:val="center"/>
        <w:rPr>
          <w:rFonts w:hint="eastAsia" w:ascii="方正小标宋_GBK" w:hAnsi="方正小标宋_GBK" w:eastAsia="方正小标宋_GBK" w:cs="方正小标宋_GBK"/>
          <w:sz w:val="70"/>
          <w:szCs w:val="70"/>
          <w:lang w:eastAsia="zh-CN"/>
        </w:rPr>
      </w:pPr>
      <w:r>
        <w:rPr>
          <w:rFonts w:hint="eastAsia" w:ascii="方正小标宋_GBK" w:hAnsi="方正小标宋_GBK" w:eastAsia="方正小标宋_GBK" w:cs="方正小标宋_GBK"/>
          <w:sz w:val="70"/>
          <w:szCs w:val="70"/>
          <w:lang w:eastAsia="zh-CN"/>
        </w:rPr>
        <w:t>附</w:t>
      </w:r>
      <w:r>
        <w:rPr>
          <w:rFonts w:hint="eastAsia" w:ascii="方正小标宋_GBK" w:hAnsi="方正小标宋_GBK" w:eastAsia="方正小标宋_GBK" w:cs="方正小标宋_GBK"/>
          <w:sz w:val="70"/>
          <w:szCs w:val="70"/>
          <w:lang w:val="en-US" w:eastAsia="zh-CN"/>
        </w:rPr>
        <w:t xml:space="preserve"> </w:t>
      </w:r>
      <w:r>
        <w:rPr>
          <w:rFonts w:hint="eastAsia" w:ascii="方正小标宋_GBK" w:hAnsi="方正小标宋_GBK" w:eastAsia="方正小标宋_GBK" w:cs="方正小标宋_GBK"/>
          <w:sz w:val="70"/>
          <w:szCs w:val="70"/>
          <w:lang w:eastAsia="zh-CN"/>
        </w:rPr>
        <w:t>件</w:t>
      </w:r>
    </w:p>
    <w:p w14:paraId="4E355770">
      <w:pPr>
        <w:ind w:firstLine="640" w:firstLineChars="200"/>
        <w:jc w:val="left"/>
        <w:rPr>
          <w:rFonts w:hint="eastAsia" w:ascii="宋体" w:hAnsi="宋体" w:eastAsia="宋体" w:cs="黑体"/>
          <w:b/>
          <w:color w:val="000000"/>
          <w:kern w:val="0"/>
          <w:sz w:val="32"/>
          <w:szCs w:val="32"/>
          <w:lang w:val="en-US" w:eastAsia="zh-CN"/>
        </w:rPr>
      </w:pPr>
    </w:p>
    <w:p w14:paraId="25F6A095">
      <w:pPr>
        <w:ind w:firstLine="640" w:firstLineChars="200"/>
        <w:jc w:val="left"/>
        <w:rPr>
          <w:rFonts w:hint="eastAsia" w:ascii="宋体" w:hAnsi="宋体" w:eastAsia="宋体" w:cs="黑体"/>
          <w:b/>
          <w:color w:val="000000"/>
          <w:kern w:val="0"/>
          <w:sz w:val="32"/>
          <w:szCs w:val="32"/>
          <w:lang w:val="en-US" w:eastAsia="zh-CN"/>
        </w:rPr>
      </w:pPr>
      <w:r>
        <w:rPr>
          <w:rFonts w:hint="eastAsia" w:ascii="宋体" w:hAnsi="宋体" w:eastAsia="宋体" w:cs="黑体"/>
          <w:b/>
          <w:color w:val="000000"/>
          <w:kern w:val="0"/>
          <w:sz w:val="32"/>
          <w:szCs w:val="32"/>
          <w:lang w:val="en-US" w:eastAsia="zh-CN"/>
        </w:rPr>
        <w:t>1、2023年部门决算公开表格</w:t>
      </w:r>
    </w:p>
    <w:p w14:paraId="2289327F">
      <w:pPr>
        <w:ind w:firstLine="640" w:firstLineChars="200"/>
        <w:jc w:val="left"/>
        <w:rPr>
          <w:rFonts w:ascii="宋体" w:hAnsi="宋体" w:eastAsia="宋体" w:cs="黑体"/>
          <w:color w:val="000000"/>
          <w:kern w:val="0"/>
          <w:sz w:val="32"/>
          <w:szCs w:val="32"/>
        </w:rPr>
      </w:pPr>
      <w:r>
        <w:rPr>
          <w:rFonts w:hint="eastAsia" w:ascii="宋体" w:hAnsi="宋体" w:eastAsia="宋体" w:cs="黑体"/>
          <w:b/>
          <w:color w:val="000000"/>
          <w:kern w:val="0"/>
          <w:sz w:val="32"/>
          <w:szCs w:val="32"/>
          <w:lang w:val="en-US" w:eastAsia="zh-CN"/>
        </w:rPr>
        <w:t>2、</w:t>
      </w:r>
      <w:r>
        <w:rPr>
          <w:rFonts w:hint="eastAsia" w:ascii="宋体" w:hAnsi="宋体" w:eastAsia="宋体" w:cs="黑体"/>
          <w:b/>
          <w:color w:val="000000"/>
          <w:kern w:val="0"/>
          <w:sz w:val="32"/>
          <w:szCs w:val="32"/>
        </w:rPr>
        <w:t>202</w:t>
      </w:r>
      <w:r>
        <w:rPr>
          <w:rFonts w:hint="eastAsia" w:ascii="宋体" w:hAnsi="宋体" w:eastAsia="宋体" w:cs="黑体"/>
          <w:b/>
          <w:color w:val="000000"/>
          <w:kern w:val="0"/>
          <w:sz w:val="32"/>
          <w:szCs w:val="32"/>
          <w:lang w:val="en-US" w:eastAsia="zh-CN"/>
        </w:rPr>
        <w:t>3</w:t>
      </w:r>
      <w:r>
        <w:rPr>
          <w:rFonts w:hint="eastAsia" w:ascii="宋体" w:hAnsi="宋体" w:eastAsia="宋体" w:cs="黑体"/>
          <w:b/>
          <w:color w:val="000000"/>
          <w:kern w:val="0"/>
          <w:sz w:val="32"/>
          <w:szCs w:val="32"/>
        </w:rPr>
        <w:t>年度部门整体支出绩效评价报告</w:t>
      </w:r>
    </w:p>
    <w:p w14:paraId="5799BC0C"/>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4413D4"/>
    <w:multiLevelType w:val="singleLevel"/>
    <w:tmpl w:val="844413D4"/>
    <w:lvl w:ilvl="0" w:tentative="0">
      <w:start w:val="3"/>
      <w:numFmt w:val="decimal"/>
      <w:suff w:val="nothing"/>
      <w:lvlText w:val="%1、"/>
      <w:lvlJc w:val="left"/>
    </w:lvl>
  </w:abstractNum>
  <w:abstractNum w:abstractNumId="1">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kOTEwM2ZhMWEyMjI0ODRhNDZhNGI4OTU5YTcwMGQifQ=="/>
  </w:docVars>
  <w:rsids>
    <w:rsidRoot w:val="004506F9"/>
    <w:rsid w:val="0002229B"/>
    <w:rsid w:val="000273BD"/>
    <w:rsid w:val="00040CBC"/>
    <w:rsid w:val="000415B7"/>
    <w:rsid w:val="00041E3F"/>
    <w:rsid w:val="00055DAA"/>
    <w:rsid w:val="00061F7B"/>
    <w:rsid w:val="000658A3"/>
    <w:rsid w:val="00074155"/>
    <w:rsid w:val="000A3F69"/>
    <w:rsid w:val="00103957"/>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AB18F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D06FF"/>
    <w:rsid w:val="00DD5FE9"/>
    <w:rsid w:val="00E00C7A"/>
    <w:rsid w:val="00E37D6C"/>
    <w:rsid w:val="00E55B68"/>
    <w:rsid w:val="00E561AE"/>
    <w:rsid w:val="00E67BE6"/>
    <w:rsid w:val="00E8683C"/>
    <w:rsid w:val="00EA2B72"/>
    <w:rsid w:val="00F74360"/>
    <w:rsid w:val="00FB462F"/>
    <w:rsid w:val="00FE16FA"/>
    <w:rsid w:val="00FE328A"/>
    <w:rsid w:val="00FE6269"/>
    <w:rsid w:val="00FF5CD6"/>
    <w:rsid w:val="059958AD"/>
    <w:rsid w:val="05FF61FF"/>
    <w:rsid w:val="062C41B1"/>
    <w:rsid w:val="074A1D85"/>
    <w:rsid w:val="0889068B"/>
    <w:rsid w:val="0BE5207C"/>
    <w:rsid w:val="0C7E7DDA"/>
    <w:rsid w:val="0D9F0B3E"/>
    <w:rsid w:val="1030200B"/>
    <w:rsid w:val="11CB5870"/>
    <w:rsid w:val="12583BA5"/>
    <w:rsid w:val="13917664"/>
    <w:rsid w:val="13A26AA4"/>
    <w:rsid w:val="13BA5B9C"/>
    <w:rsid w:val="142A2225"/>
    <w:rsid w:val="164107F7"/>
    <w:rsid w:val="17E1374A"/>
    <w:rsid w:val="18F97167"/>
    <w:rsid w:val="1B9C027D"/>
    <w:rsid w:val="1D97DEFF"/>
    <w:rsid w:val="1DB45D52"/>
    <w:rsid w:val="1DFF72E5"/>
    <w:rsid w:val="1EFC6F07"/>
    <w:rsid w:val="1F672950"/>
    <w:rsid w:val="22995058"/>
    <w:rsid w:val="22AC03C2"/>
    <w:rsid w:val="23857832"/>
    <w:rsid w:val="25140E84"/>
    <w:rsid w:val="258D7838"/>
    <w:rsid w:val="278F19A6"/>
    <w:rsid w:val="2940049A"/>
    <w:rsid w:val="2A0C2A72"/>
    <w:rsid w:val="2C111B03"/>
    <w:rsid w:val="2CCD64E8"/>
    <w:rsid w:val="2F6D7B0F"/>
    <w:rsid w:val="2FDF85B8"/>
    <w:rsid w:val="2FFFEE04"/>
    <w:rsid w:val="317677CA"/>
    <w:rsid w:val="31C95635"/>
    <w:rsid w:val="332D7150"/>
    <w:rsid w:val="34DF85B0"/>
    <w:rsid w:val="353335A8"/>
    <w:rsid w:val="370A60F3"/>
    <w:rsid w:val="38A74091"/>
    <w:rsid w:val="3B8F36BC"/>
    <w:rsid w:val="3ED76BDF"/>
    <w:rsid w:val="407F3C70"/>
    <w:rsid w:val="418A4550"/>
    <w:rsid w:val="42BA069E"/>
    <w:rsid w:val="43882D11"/>
    <w:rsid w:val="44CD6983"/>
    <w:rsid w:val="456F5F37"/>
    <w:rsid w:val="458D4F08"/>
    <w:rsid w:val="46470C62"/>
    <w:rsid w:val="47255E82"/>
    <w:rsid w:val="483A125D"/>
    <w:rsid w:val="491FF225"/>
    <w:rsid w:val="49EB7B56"/>
    <w:rsid w:val="49F66C27"/>
    <w:rsid w:val="4AD91D01"/>
    <w:rsid w:val="4DFC0584"/>
    <w:rsid w:val="4F22401A"/>
    <w:rsid w:val="4F495A4B"/>
    <w:rsid w:val="4FFD214C"/>
    <w:rsid w:val="513420B8"/>
    <w:rsid w:val="5352765A"/>
    <w:rsid w:val="543A2E30"/>
    <w:rsid w:val="565D002E"/>
    <w:rsid w:val="5777D4F5"/>
    <w:rsid w:val="59DD8326"/>
    <w:rsid w:val="59F44805"/>
    <w:rsid w:val="5AD32D47"/>
    <w:rsid w:val="5BE960B8"/>
    <w:rsid w:val="5CB92967"/>
    <w:rsid w:val="5DEF592A"/>
    <w:rsid w:val="5FC6BB1E"/>
    <w:rsid w:val="5FF720F1"/>
    <w:rsid w:val="60A07594"/>
    <w:rsid w:val="641A2BB4"/>
    <w:rsid w:val="643B19AE"/>
    <w:rsid w:val="645273BE"/>
    <w:rsid w:val="66894EAF"/>
    <w:rsid w:val="677156E7"/>
    <w:rsid w:val="67C972D1"/>
    <w:rsid w:val="67FF5C0B"/>
    <w:rsid w:val="68E819D9"/>
    <w:rsid w:val="69603C65"/>
    <w:rsid w:val="6A681023"/>
    <w:rsid w:val="6AFD0277"/>
    <w:rsid w:val="6B1D594F"/>
    <w:rsid w:val="6BAA4A2F"/>
    <w:rsid w:val="6EB65408"/>
    <w:rsid w:val="6EFC0924"/>
    <w:rsid w:val="6F071227"/>
    <w:rsid w:val="6FB74722"/>
    <w:rsid w:val="6FEF8B7E"/>
    <w:rsid w:val="700751E2"/>
    <w:rsid w:val="706202C3"/>
    <w:rsid w:val="717C08EF"/>
    <w:rsid w:val="71A6591B"/>
    <w:rsid w:val="71EA67C2"/>
    <w:rsid w:val="737D59BA"/>
    <w:rsid w:val="737F32B1"/>
    <w:rsid w:val="73A821AB"/>
    <w:rsid w:val="73B900E8"/>
    <w:rsid w:val="7783749C"/>
    <w:rsid w:val="77C37683"/>
    <w:rsid w:val="77D05759"/>
    <w:rsid w:val="78E51A91"/>
    <w:rsid w:val="79FF515B"/>
    <w:rsid w:val="7C472778"/>
    <w:rsid w:val="7CCF49B2"/>
    <w:rsid w:val="7E4249A4"/>
    <w:rsid w:val="7E9E1962"/>
    <w:rsid w:val="7E9F11B4"/>
    <w:rsid w:val="7F37EC1E"/>
    <w:rsid w:val="7F7DCD9D"/>
    <w:rsid w:val="7F970A6F"/>
    <w:rsid w:val="7FC1FFF3"/>
    <w:rsid w:val="7FC69637"/>
    <w:rsid w:val="7FDF8620"/>
    <w:rsid w:val="7FFB242F"/>
    <w:rsid w:val="7FFDB408"/>
    <w:rsid w:val="7FFE4EEB"/>
    <w:rsid w:val="95FB2B98"/>
    <w:rsid w:val="9A639BC2"/>
    <w:rsid w:val="9FF7D786"/>
    <w:rsid w:val="ABBFB23D"/>
    <w:rsid w:val="C3B4DA5A"/>
    <w:rsid w:val="CBFF70E0"/>
    <w:rsid w:val="CFF50B82"/>
    <w:rsid w:val="CFFFAD89"/>
    <w:rsid w:val="DFFE359E"/>
    <w:rsid w:val="DFFE4FFD"/>
    <w:rsid w:val="EEABED75"/>
    <w:rsid w:val="F56FDF51"/>
    <w:rsid w:val="F6B69F17"/>
    <w:rsid w:val="F77F1D61"/>
    <w:rsid w:val="F7FED3A9"/>
    <w:rsid w:val="F8C9DB26"/>
    <w:rsid w:val="F97E8EAE"/>
    <w:rsid w:val="FB36E1A6"/>
    <w:rsid w:val="FB3BE134"/>
    <w:rsid w:val="FCFF4275"/>
    <w:rsid w:val="FD7FEEEA"/>
    <w:rsid w:val="FDFFB577"/>
    <w:rsid w:val="FEEA50FE"/>
    <w:rsid w:val="FF7D47A9"/>
    <w:rsid w:val="FFCF21CB"/>
    <w:rsid w:val="FFFF1C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name="Normal Indent"/>
    <w:lsdException w:qFormat="1" w:unhideWhenUsed="0" w:uiPriority="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basedOn w:val="1"/>
    <w:semiHidden/>
    <w:qFormat/>
    <w:uiPriority w:val="99"/>
    <w:pPr>
      <w:ind w:firstLine="420" w:firstLineChars="200"/>
    </w:pPr>
  </w:style>
  <w:style w:type="paragraph" w:styleId="3">
    <w:name w:val="Body Text Indent"/>
    <w:basedOn w:val="1"/>
    <w:next w:val="4"/>
    <w:unhideWhenUsed/>
    <w:qFormat/>
    <w:uiPriority w:val="99"/>
    <w:pPr>
      <w:widowControl/>
      <w:spacing w:after="120"/>
      <w:ind w:left="420" w:leftChars="200"/>
      <w:jc w:val="left"/>
    </w:pPr>
    <w:rPr>
      <w:rFonts w:ascii="宋体" w:hAnsi="宋体" w:eastAsia="宋体" w:cs="宋体"/>
      <w:kern w:val="0"/>
      <w:sz w:val="24"/>
    </w:rPr>
  </w:style>
  <w:style w:type="paragraph" w:styleId="4">
    <w:name w:val="Body Text First Indent 2"/>
    <w:basedOn w:val="3"/>
    <w:next w:val="1"/>
    <w:unhideWhenUsed/>
    <w:qFormat/>
    <w:uiPriority w:val="99"/>
    <w:pPr>
      <w:ind w:firstLine="420" w:firstLineChars="200"/>
    </w:pPr>
  </w:style>
  <w:style w:type="paragraph" w:styleId="5">
    <w:name w:val="Balloon Text"/>
    <w:basedOn w:val="1"/>
    <w:link w:val="16"/>
    <w:semiHidden/>
    <w:unhideWhenUsed/>
    <w:qFormat/>
    <w:uiPriority w:val="99"/>
    <w:rPr>
      <w:sz w:val="18"/>
      <w:szCs w:val="18"/>
    </w:r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footnote text"/>
    <w:basedOn w:val="1"/>
    <w:next w:val="4"/>
    <w:semiHidden/>
    <w:qFormat/>
    <w:uiPriority w:val="0"/>
    <w:pPr>
      <w:snapToGrid w:val="0"/>
      <w:jc w:val="left"/>
    </w:pPr>
    <w:rPr>
      <w:sz w:val="18"/>
      <w:szCs w:val="18"/>
    </w:rPr>
  </w:style>
  <w:style w:type="paragraph" w:styleId="9">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12">
    <w:name w:val="页眉 Char"/>
    <w:basedOn w:val="11"/>
    <w:link w:val="7"/>
    <w:qFormat/>
    <w:uiPriority w:val="99"/>
    <w:rPr>
      <w:sz w:val="18"/>
      <w:szCs w:val="18"/>
    </w:rPr>
  </w:style>
  <w:style w:type="character" w:customStyle="1" w:styleId="13">
    <w:name w:val="页脚 Char"/>
    <w:basedOn w:val="11"/>
    <w:link w:val="6"/>
    <w:qFormat/>
    <w:uiPriority w:val="99"/>
    <w:rPr>
      <w:sz w:val="18"/>
      <w:szCs w:val="18"/>
    </w:rPr>
  </w:style>
  <w:style w:type="paragraph" w:customStyle="1" w:styleId="14">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5">
    <w:name w:val="List Paragraph"/>
    <w:basedOn w:val="1"/>
    <w:qFormat/>
    <w:uiPriority w:val="34"/>
    <w:pPr>
      <w:ind w:firstLine="420" w:firstLineChars="200"/>
    </w:pPr>
  </w:style>
  <w:style w:type="character" w:customStyle="1" w:styleId="16">
    <w:name w:val="批注框文本 Char"/>
    <w:basedOn w:val="11"/>
    <w:link w:val="5"/>
    <w:semiHidden/>
    <w:qFormat/>
    <w:uiPriority w:val="99"/>
    <w:rPr>
      <w:sz w:val="18"/>
      <w:szCs w:val="18"/>
    </w:rPr>
  </w:style>
  <w:style w:type="character" w:customStyle="1" w:styleId="17">
    <w:name w:val="font01"/>
    <w:basedOn w:val="11"/>
    <w:qFormat/>
    <w:uiPriority w:val="0"/>
    <w:rPr>
      <w:rFonts w:hint="eastAsia" w:ascii="宋体" w:hAnsi="宋体" w:eastAsia="宋体" w:cs="宋体"/>
      <w:color w:val="000000"/>
      <w:sz w:val="22"/>
      <w:szCs w:val="22"/>
      <w:u w:val="none"/>
    </w:rPr>
  </w:style>
  <w:style w:type="character" w:customStyle="1" w:styleId="18">
    <w:name w:val="font21"/>
    <w:basedOn w:val="11"/>
    <w:qFormat/>
    <w:uiPriority w:val="0"/>
    <w:rPr>
      <w:rFonts w:hint="eastAsia" w:ascii="宋体" w:hAnsi="宋体" w:eastAsia="宋体" w:cs="宋体"/>
      <w:color w:val="000000"/>
      <w:sz w:val="24"/>
      <w:szCs w:val="24"/>
      <w:u w:val="none"/>
    </w:rPr>
  </w:style>
  <w:style w:type="character" w:customStyle="1" w:styleId="19">
    <w:name w:val="font11"/>
    <w:basedOn w:val="1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17</Pages>
  <Words>5557</Words>
  <Characters>5955</Characters>
  <Lines>63</Lines>
  <Paragraphs>18</Paragraphs>
  <TotalTime>13</TotalTime>
  <ScaleCrop>false</ScaleCrop>
  <LinksUpToDate>false</LinksUpToDate>
  <CharactersWithSpaces>5984</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2020-07-08T02:32:00Z</dcterms:created>
  <dc:creator>李航 null</dc:creator>
  <cp:lastModifiedBy>Administrator</cp:lastModifiedBy>
  <cp:lastPrinted>2024-08-08T10:20:00Z</cp:lastPrinted>
  <dcterms:modified xsi:type="dcterms:W3CDTF">2024-09-14T02:24:41Z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98623D6660B449428EB8E073C6C952EA</vt:lpwstr>
  </property>
</Properties>
</file>